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9"/>
        </w:rPr>
      </w:pPr>
      <w:r>
        <w:rPr>
          <w:rFonts w:ascii="Times New Roman"/>
          <w:sz w:val="79"/>
        </w:rPr>
        <mc:AlternateContent>
          <mc:Choice Requires="wps">
            <w:drawing>
              <wp:anchor distT="0" distB="0" distL="0" distR="0" allowOverlap="1" layoutInCell="1" locked="0" behindDoc="1" simplePos="0" relativeHeight="485201920">
                <wp:simplePos x="0" y="0"/>
                <wp:positionH relativeFrom="page">
                  <wp:posOffset>120013</wp:posOffset>
                </wp:positionH>
                <wp:positionV relativeFrom="page">
                  <wp:posOffset>240410</wp:posOffset>
                </wp:positionV>
                <wp:extent cx="7444105" cy="96443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444105" cy="9644380"/>
                          <a:chExt cx="7444105" cy="9644380"/>
                        </a:xfrm>
                      </wpg:grpSpPr>
                      <pic:pic>
                        <pic:nvPicPr>
                          <pic:cNvPr id="2" name="Image 2" descr="A picture containing text  Description automatically generated (Rectangle)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1486"/>
                            <a:ext cx="7443597" cy="9292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189731" y="251840"/>
                            <a:ext cx="2960370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0370" h="544195">
                                <a:moveTo>
                                  <a:pt x="2960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4195"/>
                                </a:lnTo>
                                <a:lnTo>
                                  <a:pt x="2960370" y="544195"/>
                                </a:lnTo>
                                <a:lnTo>
                                  <a:pt x="2960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0061" y="251840"/>
                            <a:ext cx="2212975" cy="5035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511" y="7114857"/>
                            <a:ext cx="1972818" cy="2581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116" y="0"/>
                            <a:ext cx="1493520" cy="9512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.4499pt;margin-top:18.929977pt;width:586.15pt;height:759.4pt;mso-position-horizontal-relative:page;mso-position-vertical-relative:page;z-index:-18114560" id="docshapegroup1" coordorigin="189,379" coordsize="11723,15188">
                <v:shape style="position:absolute;left:189;top:932;width:11723;height:14634" type="#_x0000_t75" id="docshape2" alt="A picture containing text  Description automatically generated (Rectangle)" stroked="false">
                  <v:imagedata r:id="rId5" o:title=""/>
                </v:shape>
                <v:rect style="position:absolute;left:6787;top:775;width:4662;height:857" id="docshape3" filled="true" fillcolor="#ffffff" stroked="false">
                  <v:fill type="solid"/>
                </v:rect>
                <v:shape style="position:absolute;left:6945;top:775;width:3485;height:793" type="#_x0000_t75" id="docshape4" stroked="false">
                  <v:imagedata r:id="rId6" o:title=""/>
                </v:shape>
                <v:shape style="position:absolute;left:821;top:11583;width:3107;height:407" type="#_x0000_t75" id="docshape5" stroked="false">
                  <v:imagedata r:id="rId7" o:title=""/>
                </v:shape>
                <v:shape style="position:absolute;left:838;top:378;width:2352;height:1498" type="#_x0000_t75" id="docshape6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79"/>
        </w:rPr>
      </w:pPr>
    </w:p>
    <w:p>
      <w:pPr>
        <w:pStyle w:val="BodyText"/>
        <w:rPr>
          <w:rFonts w:ascii="Times New Roman"/>
          <w:sz w:val="79"/>
        </w:rPr>
      </w:pPr>
    </w:p>
    <w:p>
      <w:pPr>
        <w:pStyle w:val="BodyText"/>
        <w:rPr>
          <w:rFonts w:ascii="Times New Roman"/>
          <w:sz w:val="79"/>
        </w:rPr>
      </w:pPr>
    </w:p>
    <w:p>
      <w:pPr>
        <w:pStyle w:val="BodyText"/>
        <w:spacing w:before="407"/>
        <w:rPr>
          <w:rFonts w:ascii="Times New Roman"/>
          <w:sz w:val="79"/>
        </w:rPr>
      </w:pPr>
    </w:p>
    <w:p>
      <w:pPr>
        <w:pStyle w:val="Title"/>
        <w:spacing w:line="247" w:lineRule="auto"/>
      </w:pPr>
      <w:r>
        <w:rPr>
          <w:color w:val="FFFFFF"/>
          <w:spacing w:val="-2"/>
        </w:rPr>
        <w:t>Αποτελέσματα </w:t>
      </w:r>
      <w:r>
        <w:rPr>
          <w:color w:val="FFFFFF"/>
          <w:spacing w:val="-28"/>
        </w:rPr>
        <w:t>Β’</w:t>
      </w:r>
      <w:r>
        <w:rPr>
          <w:color w:val="FFFFFF"/>
          <w:spacing w:val="-30"/>
        </w:rPr>
        <w:t> </w:t>
      </w:r>
      <w:r>
        <w:rPr>
          <w:color w:val="FFFFFF"/>
          <w:spacing w:val="-28"/>
        </w:rPr>
        <w:t>τριμήνου</w:t>
      </w:r>
      <w:r>
        <w:rPr>
          <w:color w:val="FFFFFF"/>
          <w:spacing w:val="-30"/>
        </w:rPr>
        <w:t> </w:t>
      </w:r>
      <w:r>
        <w:rPr>
          <w:color w:val="FFFFFF"/>
          <w:spacing w:val="-28"/>
        </w:rPr>
        <w:t>2026</w:t>
      </w:r>
    </w:p>
    <w:p>
      <w:pPr>
        <w:pStyle w:val="Title"/>
        <w:spacing w:after="0" w:line="247" w:lineRule="auto"/>
        <w:sectPr>
          <w:type w:val="continuous"/>
          <w:pgSz w:w="11920" w:h="16850"/>
          <w:pgMar w:top="1940" w:bottom="280" w:left="283" w:right="425"/>
        </w:sect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38" w:after="1"/>
        <w:rPr>
          <w:rFonts w:ascii="Tahoma"/>
          <w:b/>
          <w:sz w:val="20"/>
        </w:rPr>
      </w:pPr>
    </w:p>
    <w:tbl>
      <w:tblPr>
        <w:tblW w:w="0" w:type="auto"/>
        <w:jc w:val="left"/>
        <w:tblInd w:w="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47"/>
        <w:gridCol w:w="1783"/>
        <w:gridCol w:w="173"/>
        <w:gridCol w:w="1784"/>
      </w:tblGrid>
      <w:tr>
        <w:trPr>
          <w:trHeight w:val="644" w:hRule="atLeast"/>
        </w:trPr>
        <w:tc>
          <w:tcPr>
            <w:tcW w:w="6147" w:type="dxa"/>
          </w:tcPr>
          <w:p>
            <w:pPr>
              <w:pStyle w:val="TableParagraph"/>
              <w:spacing w:line="335" w:lineRule="exact"/>
              <w:ind w:left="50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color w:val="5B92C9"/>
                <w:spacing w:val="-4"/>
                <w:sz w:val="28"/>
              </w:rPr>
              <w:t>Κύρια</w:t>
            </w:r>
            <w:r>
              <w:rPr>
                <w:rFonts w:ascii="Tahoma" w:hAnsi="Tahoma"/>
                <w:b/>
                <w:color w:val="5B92C9"/>
                <w:spacing w:val="-12"/>
                <w:sz w:val="28"/>
              </w:rPr>
              <w:t> </w:t>
            </w:r>
            <w:r>
              <w:rPr>
                <w:rFonts w:ascii="Tahoma" w:hAnsi="Tahoma"/>
                <w:b/>
                <w:color w:val="5B92C9"/>
                <w:spacing w:val="-4"/>
                <w:sz w:val="28"/>
              </w:rPr>
              <w:t>Χρηματοοικονομικά</w:t>
            </w:r>
            <w:r>
              <w:rPr>
                <w:rFonts w:ascii="Tahoma" w:hAnsi="Tahoma"/>
                <w:b/>
                <w:color w:val="5B92C9"/>
                <w:spacing w:val="-8"/>
                <w:sz w:val="28"/>
              </w:rPr>
              <w:t> </w:t>
            </w:r>
            <w:r>
              <w:rPr>
                <w:rFonts w:ascii="Tahoma" w:hAnsi="Tahoma"/>
                <w:b/>
                <w:color w:val="5B92C9"/>
                <w:spacing w:val="-4"/>
                <w:sz w:val="28"/>
              </w:rPr>
              <w:t>Μεγέθη</w:t>
            </w:r>
            <w:r>
              <w:rPr>
                <w:rFonts w:ascii="Tahoma" w:hAnsi="Tahoma"/>
                <w:b/>
                <w:color w:val="5B92C9"/>
                <w:spacing w:val="-10"/>
                <w:sz w:val="28"/>
              </w:rPr>
              <w:t> </w:t>
            </w:r>
            <w:r>
              <w:rPr>
                <w:rFonts w:ascii="Tahoma" w:hAnsi="Tahoma"/>
                <w:b/>
                <w:color w:val="5B92C9"/>
                <w:spacing w:val="-4"/>
                <w:sz w:val="28"/>
              </w:rPr>
              <w:t>2026</w:t>
            </w:r>
          </w:p>
        </w:tc>
        <w:tc>
          <w:tcPr>
            <w:tcW w:w="1783" w:type="dxa"/>
          </w:tcPr>
          <w:p>
            <w:pPr>
              <w:pStyle w:val="TableParagraph"/>
              <w:spacing w:line="335" w:lineRule="exact"/>
              <w:ind w:left="249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color w:val="5B92C9"/>
                <w:sz w:val="28"/>
              </w:rPr>
              <w:t>Α’</w:t>
            </w:r>
            <w:r>
              <w:rPr>
                <w:rFonts w:ascii="Tahoma" w:hAnsi="Tahoma"/>
                <w:b/>
                <w:color w:val="5B92C9"/>
                <w:spacing w:val="3"/>
                <w:sz w:val="28"/>
              </w:rPr>
              <w:t> </w:t>
            </w:r>
            <w:r>
              <w:rPr>
                <w:rFonts w:ascii="Tahoma" w:hAnsi="Tahoma"/>
                <w:b/>
                <w:color w:val="5B92C9"/>
                <w:spacing w:val="-2"/>
                <w:sz w:val="28"/>
              </w:rPr>
              <w:t>εξάμηνο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spacing w:line="335" w:lineRule="exact"/>
              <w:ind w:left="332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color w:val="5B92C9"/>
                <w:sz w:val="28"/>
              </w:rPr>
              <w:t>Β’</w:t>
            </w:r>
            <w:r>
              <w:rPr>
                <w:rFonts w:ascii="Tahoma" w:hAnsi="Tahoma"/>
                <w:b/>
                <w:color w:val="5B92C9"/>
                <w:spacing w:val="-9"/>
                <w:sz w:val="28"/>
              </w:rPr>
              <w:t> </w:t>
            </w:r>
            <w:r>
              <w:rPr>
                <w:rFonts w:ascii="Tahoma" w:hAnsi="Tahoma"/>
                <w:b/>
                <w:color w:val="5B92C9"/>
                <w:spacing w:val="-2"/>
                <w:sz w:val="28"/>
              </w:rPr>
              <w:t>τρίμηνο</w:t>
            </w:r>
          </w:p>
        </w:tc>
      </w:tr>
      <w:tr>
        <w:trPr>
          <w:trHeight w:val="262" w:hRule="atLeast"/>
        </w:trPr>
        <w:tc>
          <w:tcPr>
            <w:tcW w:w="6147" w:type="dxa"/>
          </w:tcPr>
          <w:p>
            <w:pPr>
              <w:pStyle w:val="TableParagraph"/>
              <w:spacing w:line="239" w:lineRule="exact"/>
              <w:ind w:left="129"/>
              <w:rPr>
                <w:sz w:val="20"/>
              </w:rPr>
            </w:pPr>
            <w:r>
              <w:rPr>
                <w:spacing w:val="-6"/>
                <w:sz w:val="20"/>
              </w:rPr>
              <w:t>Κέρδη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6"/>
                <w:sz w:val="20"/>
              </w:rPr>
              <w:t>μετά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6"/>
                <w:sz w:val="20"/>
              </w:rPr>
              <w:t>από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6"/>
                <w:sz w:val="20"/>
              </w:rPr>
              <w:t>Φόρους</w:t>
            </w:r>
          </w:p>
        </w:tc>
        <w:tc>
          <w:tcPr>
            <w:tcW w:w="1783" w:type="dxa"/>
            <w:tcBorders>
              <w:bottom w:val="single" w:sz="48" w:space="0" w:color="FFFFFF"/>
            </w:tcBorders>
            <w:shd w:val="clear" w:color="auto" w:fill="C5D9F0"/>
          </w:tcPr>
          <w:p>
            <w:pPr>
              <w:pStyle w:val="TableParagraph"/>
              <w:spacing w:line="236" w:lineRule="exact"/>
              <w:ind w:left="321"/>
              <w:rPr>
                <w:sz w:val="20"/>
              </w:rPr>
            </w:pPr>
            <w:r>
              <w:rPr>
                <w:w w:val="85"/>
                <w:sz w:val="20"/>
              </w:rPr>
              <w:t>€497,2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εκατ.</w:t>
            </w:r>
          </w:p>
        </w:tc>
        <w:tc>
          <w:tcPr>
            <w:tcW w:w="173" w:type="dxa"/>
            <w:tcBorders>
              <w:bottom w:val="single" w:sz="48" w:space="0" w:color="FFFFF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  <w:tcBorders>
              <w:bottom w:val="single" w:sz="48" w:space="0" w:color="FFFFFF"/>
            </w:tcBorders>
            <w:shd w:val="clear" w:color="auto" w:fill="C5D9F0"/>
          </w:tcPr>
          <w:p>
            <w:pPr>
              <w:pStyle w:val="TableParagraph"/>
              <w:spacing w:line="236" w:lineRule="exact"/>
              <w:ind w:left="348"/>
              <w:rPr>
                <w:sz w:val="20"/>
              </w:rPr>
            </w:pPr>
            <w:r>
              <w:rPr>
                <w:w w:val="85"/>
                <w:sz w:val="20"/>
              </w:rPr>
              <w:t>€315,7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εκατ.</w:t>
            </w:r>
          </w:p>
        </w:tc>
      </w:tr>
      <w:tr>
        <w:trPr>
          <w:trHeight w:val="262" w:hRule="atLeast"/>
        </w:trPr>
        <w:tc>
          <w:tcPr>
            <w:tcW w:w="6147" w:type="dxa"/>
          </w:tcPr>
          <w:p>
            <w:pPr>
              <w:pStyle w:val="TableParagraph"/>
              <w:spacing w:line="228" w:lineRule="exact"/>
              <w:ind w:left="129"/>
              <w:rPr>
                <w:sz w:val="20"/>
              </w:rPr>
            </w:pPr>
            <w:r>
              <w:rPr>
                <w:color w:val="221F1F"/>
                <w:spacing w:val="-6"/>
                <w:sz w:val="20"/>
              </w:rPr>
              <w:t>Προσαρμοσμένα</w:t>
            </w:r>
            <w:hyperlink w:history="true" w:anchor="_bookmark0">
              <w:r>
                <w:rPr>
                  <w:spacing w:val="-6"/>
                  <w:position w:val="7"/>
                  <w:sz w:val="12"/>
                </w:rPr>
                <w:t>1</w:t>
              </w:r>
            </w:hyperlink>
            <w:r>
              <w:rPr>
                <w:spacing w:val="-3"/>
                <w:position w:val="7"/>
                <w:sz w:val="12"/>
              </w:rPr>
              <w:t> </w:t>
            </w:r>
            <w:r>
              <w:rPr>
                <w:color w:val="221F1F"/>
                <w:spacing w:val="-6"/>
                <w:sz w:val="20"/>
              </w:rPr>
              <w:t>Κέρδη</w:t>
            </w:r>
            <w:r>
              <w:rPr>
                <w:color w:val="221F1F"/>
                <w:spacing w:val="-13"/>
                <w:sz w:val="20"/>
              </w:rPr>
              <w:t> </w:t>
            </w:r>
            <w:r>
              <w:rPr>
                <w:color w:val="221F1F"/>
                <w:spacing w:val="-6"/>
                <w:sz w:val="20"/>
              </w:rPr>
              <w:t>μετά</w:t>
            </w:r>
            <w:r>
              <w:rPr>
                <w:color w:val="221F1F"/>
                <w:spacing w:val="-13"/>
                <w:sz w:val="20"/>
              </w:rPr>
              <w:t> </w:t>
            </w:r>
            <w:r>
              <w:rPr>
                <w:color w:val="221F1F"/>
                <w:spacing w:val="-6"/>
                <w:sz w:val="20"/>
              </w:rPr>
              <w:t>από</w:t>
            </w:r>
            <w:r>
              <w:rPr>
                <w:color w:val="221F1F"/>
                <w:spacing w:val="-13"/>
                <w:sz w:val="20"/>
              </w:rPr>
              <w:t> </w:t>
            </w:r>
            <w:r>
              <w:rPr>
                <w:color w:val="221F1F"/>
                <w:spacing w:val="-6"/>
                <w:sz w:val="20"/>
              </w:rPr>
              <w:t>Φόρους</w:t>
            </w:r>
          </w:p>
        </w:tc>
        <w:tc>
          <w:tcPr>
            <w:tcW w:w="1783" w:type="dxa"/>
            <w:tcBorders>
              <w:top w:val="single" w:sz="48" w:space="0" w:color="FFFFFF"/>
            </w:tcBorders>
            <w:shd w:val="clear" w:color="auto" w:fill="C5D9F0"/>
          </w:tcPr>
          <w:p>
            <w:pPr>
              <w:pStyle w:val="TableParagraph"/>
              <w:spacing w:line="228" w:lineRule="exact"/>
              <w:ind w:left="321"/>
              <w:rPr>
                <w:sz w:val="20"/>
              </w:rPr>
            </w:pPr>
            <w:r>
              <w:rPr>
                <w:w w:val="85"/>
                <w:sz w:val="20"/>
              </w:rPr>
              <w:t>€495,3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εκατ.</w:t>
            </w:r>
          </w:p>
        </w:tc>
        <w:tc>
          <w:tcPr>
            <w:tcW w:w="173" w:type="dxa"/>
            <w:tcBorders>
              <w:top w:val="single" w:sz="48" w:space="0" w:color="FFFFFF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  <w:tcBorders>
              <w:top w:val="single" w:sz="48" w:space="0" w:color="FFFFFF"/>
            </w:tcBorders>
            <w:shd w:val="clear" w:color="auto" w:fill="C5D9F0"/>
          </w:tcPr>
          <w:p>
            <w:pPr>
              <w:pStyle w:val="TableParagraph"/>
              <w:spacing w:line="228" w:lineRule="exact"/>
              <w:ind w:left="348"/>
              <w:rPr>
                <w:sz w:val="20"/>
              </w:rPr>
            </w:pPr>
            <w:r>
              <w:rPr>
                <w:w w:val="85"/>
                <w:sz w:val="20"/>
              </w:rPr>
              <w:t>€274,8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εκατ.</w:t>
            </w:r>
          </w:p>
        </w:tc>
      </w:tr>
      <w:tr>
        <w:trPr>
          <w:trHeight w:val="482" w:hRule="atLeast"/>
        </w:trPr>
        <w:tc>
          <w:tcPr>
            <w:tcW w:w="6147" w:type="dxa"/>
          </w:tcPr>
          <w:p>
            <w:pPr>
              <w:pStyle w:val="TableParagraph"/>
              <w:spacing w:before="94"/>
              <w:ind w:left="131"/>
              <w:rPr>
                <w:sz w:val="20"/>
              </w:rPr>
            </w:pPr>
            <w:r>
              <w:rPr>
                <w:w w:val="90"/>
                <w:sz w:val="20"/>
              </w:rPr>
              <w:t>Δείκτης</w:t>
            </w:r>
            <w:r>
              <w:rPr>
                <w:spacing w:val="23"/>
                <w:sz w:val="20"/>
              </w:rPr>
              <w:t> </w:t>
            </w:r>
            <w:r>
              <w:rPr>
                <w:w w:val="90"/>
                <w:sz w:val="20"/>
              </w:rPr>
              <w:t>Απόδοσης</w:t>
            </w:r>
            <w:r>
              <w:rPr>
                <w:spacing w:val="24"/>
                <w:sz w:val="20"/>
              </w:rPr>
              <w:t> </w:t>
            </w:r>
            <w:r>
              <w:rPr>
                <w:w w:val="90"/>
                <w:sz w:val="20"/>
              </w:rPr>
              <w:t>Ενσώματων</w:t>
            </w:r>
            <w:r>
              <w:rPr>
                <w:spacing w:val="20"/>
                <w:sz w:val="20"/>
              </w:rPr>
              <w:t> </w:t>
            </w:r>
            <w:r>
              <w:rPr>
                <w:w w:val="90"/>
                <w:sz w:val="20"/>
              </w:rPr>
              <w:t>Ιδίων</w:t>
            </w:r>
            <w:r>
              <w:rPr>
                <w:spacing w:val="23"/>
                <w:sz w:val="20"/>
              </w:rPr>
              <w:t> </w:t>
            </w:r>
            <w:r>
              <w:rPr>
                <w:w w:val="90"/>
                <w:sz w:val="20"/>
              </w:rPr>
              <w:t>Κεφαλαίων</w:t>
            </w:r>
            <w:r>
              <w:rPr>
                <w:spacing w:val="20"/>
                <w:sz w:val="20"/>
              </w:rPr>
              <w:t> </w:t>
            </w:r>
            <w:r>
              <w:rPr>
                <w:w w:val="90"/>
                <w:sz w:val="20"/>
              </w:rPr>
              <w:t>(RoTBV)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5"/>
                <w:w w:val="90"/>
                <w:sz w:val="20"/>
              </w:rPr>
              <w:t>με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7" w:hRule="atLeast"/>
        </w:trPr>
        <w:tc>
          <w:tcPr>
            <w:tcW w:w="6147" w:type="dxa"/>
          </w:tcPr>
          <w:p>
            <w:pPr>
              <w:pStyle w:val="TableParagraph"/>
              <w:spacing w:line="239" w:lineRule="exact"/>
              <w:ind w:left="129"/>
              <w:rPr>
                <w:sz w:val="20"/>
              </w:rPr>
            </w:pPr>
            <w:r>
              <w:rPr>
                <w:spacing w:val="-6"/>
                <w:sz w:val="20"/>
              </w:rPr>
              <w:t>Βάση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6"/>
                <w:sz w:val="20"/>
              </w:rPr>
              <w:t>τα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6"/>
                <w:sz w:val="20"/>
              </w:rPr>
              <w:t>Προσαρμοσμένα</w:t>
            </w:r>
            <w:r>
              <w:rPr>
                <w:spacing w:val="-6"/>
                <w:position w:val="7"/>
                <w:sz w:val="12"/>
              </w:rPr>
              <w:t>1</w:t>
            </w:r>
            <w:r>
              <w:rPr>
                <w:spacing w:val="12"/>
                <w:position w:val="7"/>
                <w:sz w:val="12"/>
              </w:rPr>
              <w:t> </w:t>
            </w:r>
            <w:r>
              <w:rPr>
                <w:spacing w:val="-6"/>
                <w:sz w:val="20"/>
              </w:rPr>
              <w:t>Κέρδη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6"/>
                <w:sz w:val="20"/>
              </w:rPr>
              <w:t>μετά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6"/>
                <w:sz w:val="20"/>
              </w:rPr>
              <w:t>από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6"/>
                <w:sz w:val="20"/>
              </w:rPr>
              <w:t>Φόρους</w:t>
            </w:r>
          </w:p>
        </w:tc>
        <w:tc>
          <w:tcPr>
            <w:tcW w:w="1783" w:type="dxa"/>
            <w:tcBorders>
              <w:bottom w:val="single" w:sz="48" w:space="0" w:color="FFFFFF"/>
            </w:tcBorders>
            <w:shd w:val="clear" w:color="auto" w:fill="C5D9F0"/>
          </w:tcPr>
          <w:p>
            <w:pPr>
              <w:pStyle w:val="TableParagraph"/>
              <w:spacing w:line="227" w:lineRule="exact"/>
              <w:ind w:right="11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14%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  <w:tcBorders>
              <w:bottom w:val="single" w:sz="48" w:space="0" w:color="FFFFFF"/>
            </w:tcBorders>
            <w:shd w:val="clear" w:color="auto" w:fill="C5D9F0"/>
          </w:tcPr>
          <w:p>
            <w:pPr>
              <w:pStyle w:val="TableParagraph"/>
              <w:spacing w:line="224" w:lineRule="exact"/>
              <w:ind w:left="627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15,5%</w:t>
            </w:r>
          </w:p>
        </w:tc>
      </w:tr>
      <w:tr>
        <w:trPr>
          <w:trHeight w:val="247" w:hRule="atLeast"/>
        </w:trPr>
        <w:tc>
          <w:tcPr>
            <w:tcW w:w="6147" w:type="dxa"/>
          </w:tcPr>
          <w:p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pacing w:val="-7"/>
                <w:sz w:val="20"/>
              </w:rPr>
              <w:t>Δείκτης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CET1</w:t>
            </w:r>
          </w:p>
        </w:tc>
        <w:tc>
          <w:tcPr>
            <w:tcW w:w="1783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C5D9F0"/>
          </w:tcPr>
          <w:p>
            <w:pPr>
              <w:pStyle w:val="TableParagraph"/>
              <w:spacing w:line="223" w:lineRule="exact"/>
              <w:ind w:right="11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14,3%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C5D9F0"/>
          </w:tcPr>
          <w:p>
            <w:pPr>
              <w:pStyle w:val="TableParagraph"/>
              <w:spacing w:line="223" w:lineRule="exact"/>
              <w:ind w:left="629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14,3%</w:t>
            </w:r>
          </w:p>
        </w:tc>
      </w:tr>
      <w:tr>
        <w:trPr>
          <w:trHeight w:val="260" w:hRule="atLeast"/>
        </w:trPr>
        <w:tc>
          <w:tcPr>
            <w:tcW w:w="6147" w:type="dxa"/>
          </w:tcPr>
          <w:p>
            <w:pPr>
              <w:pStyle w:val="TableParagraph"/>
              <w:spacing w:line="228" w:lineRule="exact"/>
              <w:ind w:left="129"/>
              <w:rPr>
                <w:sz w:val="20"/>
              </w:rPr>
            </w:pPr>
            <w:r>
              <w:rPr>
                <w:spacing w:val="-6"/>
                <w:sz w:val="20"/>
              </w:rPr>
              <w:t>Ενσώματη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6"/>
                <w:sz w:val="20"/>
              </w:rPr>
              <w:t>Λογιστική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6"/>
                <w:sz w:val="20"/>
              </w:rPr>
              <w:t>Αξία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6"/>
                <w:sz w:val="20"/>
              </w:rPr>
              <w:t>ανά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6"/>
                <w:sz w:val="20"/>
              </w:rPr>
              <w:t>Μετοχή</w:t>
            </w:r>
          </w:p>
        </w:tc>
        <w:tc>
          <w:tcPr>
            <w:tcW w:w="1783" w:type="dxa"/>
            <w:tcBorders>
              <w:top w:val="single" w:sz="48" w:space="0" w:color="FFFFFF"/>
            </w:tcBorders>
            <w:shd w:val="clear" w:color="auto" w:fill="C5D9F0"/>
          </w:tcPr>
          <w:p>
            <w:pPr>
              <w:pStyle w:val="TableParagraph"/>
              <w:spacing w:line="224" w:lineRule="exact"/>
              <w:ind w:left="5" w:right="11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€3,36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  <w:tcBorders>
              <w:top w:val="single" w:sz="48" w:space="0" w:color="FFFFFF"/>
            </w:tcBorders>
            <w:shd w:val="clear" w:color="auto" w:fill="C5D9F0"/>
          </w:tcPr>
          <w:p>
            <w:pPr>
              <w:pStyle w:val="TableParagraph"/>
              <w:spacing w:line="228" w:lineRule="exact"/>
              <w:ind w:left="44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€3,36</w:t>
            </w:r>
          </w:p>
        </w:tc>
      </w:tr>
      <w:tr>
        <w:trPr>
          <w:trHeight w:val="805" w:hRule="atLeast"/>
        </w:trPr>
        <w:tc>
          <w:tcPr>
            <w:tcW w:w="6147" w:type="dxa"/>
          </w:tcPr>
          <w:p>
            <w:pPr>
              <w:pStyle w:val="TableParagraph"/>
              <w:spacing w:before="116"/>
              <w:rPr>
                <w:rFonts w:ascii="Tahoma"/>
                <w:b/>
                <w:sz w:val="28"/>
              </w:rPr>
            </w:pPr>
          </w:p>
          <w:p>
            <w:pPr>
              <w:pStyle w:val="TableParagraph"/>
              <w:spacing w:line="330" w:lineRule="exact" w:before="1"/>
              <w:ind w:left="50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color w:val="5B92C9"/>
                <w:spacing w:val="-6"/>
                <w:sz w:val="28"/>
              </w:rPr>
              <w:t>Κύριες</w:t>
            </w:r>
            <w:r>
              <w:rPr>
                <w:rFonts w:ascii="Tahoma" w:hAnsi="Tahoma"/>
                <w:b/>
                <w:color w:val="5B92C9"/>
                <w:spacing w:val="-9"/>
                <w:sz w:val="28"/>
              </w:rPr>
              <w:t> </w:t>
            </w:r>
            <w:r>
              <w:rPr>
                <w:rFonts w:ascii="Tahoma" w:hAnsi="Tahoma"/>
                <w:b/>
                <w:color w:val="5B92C9"/>
                <w:spacing w:val="-2"/>
                <w:sz w:val="28"/>
              </w:rPr>
              <w:t>Εξελίξεις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2" w:lineRule="auto" w:before="107" w:after="0"/>
        <w:ind w:left="927" w:right="389" w:hanging="361"/>
        <w:jc w:val="left"/>
        <w:rPr>
          <w:sz w:val="20"/>
        </w:rPr>
      </w:pPr>
      <w:r>
        <w:rPr>
          <w:spacing w:val="-6"/>
          <w:sz w:val="20"/>
        </w:rPr>
        <w:t>Ο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Δείκτης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Απόδοσης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Ενσώματων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Ιδίων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Κεφαλαίων με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βάση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τα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Προσαρμοσμένα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Κέρδη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μετά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από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Φόρους</w:t>
      </w:r>
      <w:hyperlink w:history="true" w:anchor="_bookmark1">
        <w:r>
          <w:rPr>
            <w:spacing w:val="-6"/>
            <w:position w:val="7"/>
            <w:sz w:val="12"/>
          </w:rPr>
          <w:t>2</w:t>
        </w:r>
      </w:hyperlink>
      <w:r>
        <w:rPr>
          <w:position w:val="7"/>
          <w:sz w:val="12"/>
        </w:rPr>
        <w:t> </w:t>
      </w:r>
      <w:r>
        <w:rPr>
          <w:spacing w:val="-6"/>
          <w:sz w:val="20"/>
        </w:rPr>
        <w:t>διαμορφώθηκε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σε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15,5%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β’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τρίμηνο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2026,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τα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Προσαρμοσμένα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Κέρδη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ανά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μετοχή</w:t>
      </w:r>
      <w:r>
        <w:rPr>
          <w:spacing w:val="-6"/>
          <w:position w:val="7"/>
          <w:sz w:val="12"/>
        </w:rPr>
        <w:t>2</w:t>
      </w:r>
      <w:r>
        <w:rPr>
          <w:spacing w:val="-5"/>
          <w:position w:val="7"/>
          <w:sz w:val="12"/>
        </w:rPr>
        <w:t> </w:t>
      </w:r>
      <w:r>
        <w:rPr>
          <w:spacing w:val="-6"/>
          <w:sz w:val="20"/>
        </w:rPr>
        <w:t>ανήλθαν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σε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€0,12,</w:t>
      </w:r>
    </w:p>
    <w:p>
      <w:pPr>
        <w:spacing w:before="2"/>
        <w:ind w:left="927" w:right="0" w:firstLine="0"/>
        <w:jc w:val="left"/>
        <w:rPr>
          <w:sz w:val="20"/>
        </w:rPr>
      </w:pPr>
      <w:r>
        <w:rPr>
          <w:w w:val="90"/>
          <w:sz w:val="20"/>
        </w:rPr>
        <w:t>ενώ</w:t>
      </w:r>
      <w:r>
        <w:rPr>
          <w:spacing w:val="1"/>
          <w:sz w:val="20"/>
        </w:rPr>
        <w:t> </w:t>
      </w:r>
      <w:r>
        <w:rPr>
          <w:w w:val="90"/>
          <w:sz w:val="20"/>
        </w:rPr>
        <w:t>ο</w:t>
      </w:r>
      <w:r>
        <w:rPr>
          <w:spacing w:val="2"/>
          <w:sz w:val="20"/>
        </w:rPr>
        <w:t> </w:t>
      </w:r>
      <w:r>
        <w:rPr>
          <w:w w:val="90"/>
          <w:sz w:val="20"/>
        </w:rPr>
        <w:t>Δείκτης</w:t>
      </w:r>
      <w:r>
        <w:rPr>
          <w:spacing w:val="4"/>
          <w:sz w:val="20"/>
        </w:rPr>
        <w:t> </w:t>
      </w:r>
      <w:r>
        <w:rPr>
          <w:w w:val="90"/>
          <w:sz w:val="20"/>
        </w:rPr>
        <w:t>FL</w:t>
      </w:r>
      <w:r>
        <w:rPr>
          <w:spacing w:val="3"/>
          <w:sz w:val="20"/>
        </w:rPr>
        <w:t> </w:t>
      </w:r>
      <w:r>
        <w:rPr>
          <w:w w:val="90"/>
          <w:sz w:val="20"/>
        </w:rPr>
        <w:t>CET1</w:t>
      </w:r>
      <w:r>
        <w:rPr>
          <w:spacing w:val="1"/>
          <w:sz w:val="20"/>
        </w:rPr>
        <w:t> </w:t>
      </w:r>
      <w:r>
        <w:rPr>
          <w:w w:val="90"/>
          <w:sz w:val="20"/>
        </w:rPr>
        <w:t>ανήλθε</w:t>
      </w:r>
      <w:r>
        <w:rPr>
          <w:spacing w:val="4"/>
          <w:sz w:val="20"/>
        </w:rPr>
        <w:t> </w:t>
      </w:r>
      <w:r>
        <w:rPr>
          <w:w w:val="90"/>
          <w:sz w:val="20"/>
        </w:rPr>
        <w:t>σε</w:t>
      </w:r>
      <w:r>
        <w:rPr>
          <w:spacing w:val="2"/>
          <w:sz w:val="20"/>
        </w:rPr>
        <w:t> </w:t>
      </w:r>
      <w:r>
        <w:rPr>
          <w:spacing w:val="-2"/>
          <w:w w:val="90"/>
          <w:sz w:val="20"/>
        </w:rPr>
        <w:t>14,3%.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28" w:after="0"/>
        <w:ind w:left="926" w:right="0" w:hanging="360"/>
        <w:jc w:val="left"/>
        <w:rPr>
          <w:sz w:val="20"/>
        </w:rPr>
      </w:pPr>
      <w:r>
        <w:rPr>
          <w:w w:val="90"/>
          <w:sz w:val="20"/>
        </w:rPr>
        <w:t>Το</w:t>
      </w:r>
      <w:r>
        <w:rPr>
          <w:spacing w:val="3"/>
          <w:sz w:val="20"/>
        </w:rPr>
        <w:t> </w:t>
      </w:r>
      <w:r>
        <w:rPr>
          <w:w w:val="90"/>
          <w:sz w:val="20"/>
        </w:rPr>
        <w:t>β’</w:t>
      </w:r>
      <w:r>
        <w:rPr>
          <w:spacing w:val="4"/>
          <w:sz w:val="20"/>
        </w:rPr>
        <w:t> </w:t>
      </w:r>
      <w:r>
        <w:rPr>
          <w:w w:val="90"/>
          <w:sz w:val="20"/>
        </w:rPr>
        <w:t>τρίμηνο,</w:t>
      </w:r>
      <w:r>
        <w:rPr>
          <w:spacing w:val="5"/>
          <w:sz w:val="20"/>
        </w:rPr>
        <w:t> </w:t>
      </w:r>
      <w:r>
        <w:rPr>
          <w:w w:val="90"/>
          <w:sz w:val="20"/>
        </w:rPr>
        <w:t>η</w:t>
      </w:r>
      <w:r>
        <w:rPr>
          <w:spacing w:val="4"/>
          <w:sz w:val="20"/>
        </w:rPr>
        <w:t> </w:t>
      </w:r>
      <w:r>
        <w:rPr>
          <w:w w:val="90"/>
          <w:sz w:val="20"/>
        </w:rPr>
        <w:t>καθαρή</w:t>
      </w:r>
      <w:r>
        <w:rPr>
          <w:spacing w:val="4"/>
          <w:sz w:val="20"/>
        </w:rPr>
        <w:t> </w:t>
      </w:r>
      <w:r>
        <w:rPr>
          <w:w w:val="90"/>
          <w:sz w:val="20"/>
        </w:rPr>
        <w:t>πιστωτική</w:t>
      </w:r>
      <w:r>
        <w:rPr>
          <w:spacing w:val="3"/>
          <w:sz w:val="20"/>
        </w:rPr>
        <w:t> </w:t>
      </w:r>
      <w:r>
        <w:rPr>
          <w:w w:val="90"/>
          <w:sz w:val="20"/>
        </w:rPr>
        <w:t>επέκταση</w:t>
      </w:r>
      <w:r>
        <w:rPr>
          <w:spacing w:val="10"/>
          <w:sz w:val="20"/>
        </w:rPr>
        <w:t> </w:t>
      </w:r>
      <w:r>
        <w:rPr>
          <w:w w:val="90"/>
          <w:sz w:val="20"/>
        </w:rPr>
        <w:t>στην</w:t>
      </w:r>
      <w:r>
        <w:rPr>
          <w:spacing w:val="5"/>
          <w:sz w:val="20"/>
        </w:rPr>
        <w:t> </w:t>
      </w:r>
      <w:r>
        <w:rPr>
          <w:w w:val="90"/>
          <w:sz w:val="20"/>
        </w:rPr>
        <w:t>Ελλάδα</w:t>
      </w:r>
      <w:r>
        <w:rPr>
          <w:spacing w:val="8"/>
          <w:sz w:val="20"/>
        </w:rPr>
        <w:t> </w:t>
      </w:r>
      <w:r>
        <w:rPr>
          <w:w w:val="90"/>
          <w:sz w:val="20"/>
        </w:rPr>
        <w:t>διαμορφώθηκε</w:t>
      </w:r>
      <w:r>
        <w:rPr>
          <w:spacing w:val="3"/>
          <w:sz w:val="20"/>
        </w:rPr>
        <w:t> </w:t>
      </w:r>
      <w:r>
        <w:rPr>
          <w:w w:val="90"/>
          <w:sz w:val="20"/>
        </w:rPr>
        <w:t>σε</w:t>
      </w:r>
      <w:r>
        <w:rPr>
          <w:spacing w:val="4"/>
          <w:sz w:val="20"/>
        </w:rPr>
        <w:t> </w:t>
      </w:r>
      <w:r>
        <w:rPr>
          <w:w w:val="90"/>
          <w:sz w:val="20"/>
        </w:rPr>
        <w:t>€1,6</w:t>
      </w:r>
      <w:r>
        <w:rPr>
          <w:spacing w:val="2"/>
          <w:sz w:val="20"/>
        </w:rPr>
        <w:t> </w:t>
      </w:r>
      <w:r>
        <w:rPr>
          <w:w w:val="90"/>
          <w:sz w:val="20"/>
        </w:rPr>
        <w:t>δισ.,</w:t>
      </w:r>
      <w:r>
        <w:rPr>
          <w:spacing w:val="3"/>
          <w:sz w:val="20"/>
        </w:rPr>
        <w:t> </w:t>
      </w:r>
      <w:r>
        <w:rPr>
          <w:w w:val="90"/>
          <w:sz w:val="20"/>
        </w:rPr>
        <w:t>ενώ</w:t>
      </w:r>
      <w:r>
        <w:rPr>
          <w:spacing w:val="8"/>
          <w:sz w:val="20"/>
        </w:rPr>
        <w:t> </w:t>
      </w:r>
      <w:r>
        <w:rPr>
          <w:w w:val="90"/>
          <w:sz w:val="20"/>
        </w:rPr>
        <w:t>για</w:t>
      </w:r>
      <w:r>
        <w:rPr>
          <w:spacing w:val="3"/>
          <w:sz w:val="20"/>
        </w:rPr>
        <w:t> </w:t>
      </w:r>
      <w:r>
        <w:rPr>
          <w:w w:val="90"/>
          <w:sz w:val="20"/>
        </w:rPr>
        <w:t>το</w:t>
      </w:r>
      <w:r>
        <w:rPr>
          <w:spacing w:val="4"/>
          <w:sz w:val="20"/>
        </w:rPr>
        <w:t> </w:t>
      </w:r>
      <w:r>
        <w:rPr>
          <w:spacing w:val="-5"/>
          <w:w w:val="90"/>
          <w:sz w:val="20"/>
        </w:rPr>
        <w:t>α’</w:t>
      </w:r>
    </w:p>
    <w:p>
      <w:pPr>
        <w:spacing w:line="244" w:lineRule="auto" w:before="3"/>
        <w:ind w:left="927" w:right="0" w:firstLine="0"/>
        <w:jc w:val="left"/>
        <w:rPr>
          <w:sz w:val="20"/>
        </w:rPr>
      </w:pPr>
      <w:r>
        <w:rPr>
          <w:w w:val="90"/>
          <w:sz w:val="20"/>
        </w:rPr>
        <w:t>εξάμηνο ανήλθε σε €2,2 δισ. Το χαρτοφυλάκιο Εξυπηρετούμενων Δανείων του Ομίλου, εξαιρουμένων των</w:t>
      </w:r>
      <w:r>
        <w:rPr>
          <w:spacing w:val="40"/>
          <w:sz w:val="20"/>
        </w:rPr>
        <w:t> </w:t>
      </w:r>
      <w:r>
        <w:rPr>
          <w:spacing w:val="-6"/>
          <w:sz w:val="20"/>
        </w:rPr>
        <w:t>ομολογιών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υψηλής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εξοφλητικής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προτεραιότητας,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ανήλθε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σε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€39,9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δισ.,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ενισχυμένο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κατά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4,7%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σε</w:t>
      </w:r>
    </w:p>
    <w:p>
      <w:pPr>
        <w:spacing w:before="1"/>
        <w:ind w:left="927" w:right="0" w:firstLine="0"/>
        <w:jc w:val="left"/>
        <w:rPr>
          <w:sz w:val="20"/>
        </w:rPr>
      </w:pPr>
      <w:r>
        <w:rPr>
          <w:w w:val="90"/>
          <w:sz w:val="20"/>
        </w:rPr>
        <w:t>τριμηνιαία</w:t>
      </w:r>
      <w:r>
        <w:rPr>
          <w:spacing w:val="4"/>
          <w:sz w:val="20"/>
        </w:rPr>
        <w:t> </w:t>
      </w:r>
      <w:r>
        <w:rPr>
          <w:w w:val="90"/>
          <w:sz w:val="20"/>
        </w:rPr>
        <w:t>βάση</w:t>
      </w:r>
      <w:r>
        <w:rPr>
          <w:spacing w:val="1"/>
          <w:sz w:val="20"/>
        </w:rPr>
        <w:t> </w:t>
      </w:r>
      <w:r>
        <w:rPr>
          <w:w w:val="90"/>
          <w:sz w:val="20"/>
        </w:rPr>
        <w:t>και</w:t>
      </w:r>
      <w:r>
        <w:rPr>
          <w:spacing w:val="2"/>
          <w:sz w:val="20"/>
        </w:rPr>
        <w:t> </w:t>
      </w:r>
      <w:r>
        <w:rPr>
          <w:w w:val="90"/>
          <w:sz w:val="20"/>
        </w:rPr>
        <w:t>14,3%</w:t>
      </w:r>
      <w:r>
        <w:rPr>
          <w:spacing w:val="2"/>
          <w:sz w:val="20"/>
        </w:rPr>
        <w:t> </w:t>
      </w:r>
      <w:r>
        <w:rPr>
          <w:w w:val="90"/>
          <w:sz w:val="20"/>
        </w:rPr>
        <w:t>σε</w:t>
      </w:r>
      <w:r>
        <w:rPr>
          <w:spacing w:val="1"/>
          <w:sz w:val="20"/>
        </w:rPr>
        <w:t> </w:t>
      </w:r>
      <w:r>
        <w:rPr>
          <w:w w:val="90"/>
          <w:sz w:val="20"/>
        </w:rPr>
        <w:t>ετήσια</w:t>
      </w:r>
      <w:r>
        <w:rPr>
          <w:spacing w:val="2"/>
          <w:sz w:val="20"/>
        </w:rPr>
        <w:t> </w:t>
      </w:r>
      <w:r>
        <w:rPr>
          <w:spacing w:val="-2"/>
          <w:w w:val="90"/>
          <w:sz w:val="20"/>
        </w:rPr>
        <w:t>βάση.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26" w:after="0"/>
        <w:ind w:left="926" w:right="0" w:hanging="360"/>
        <w:jc w:val="left"/>
        <w:rPr>
          <w:sz w:val="20"/>
        </w:rPr>
      </w:pPr>
      <w:r>
        <w:rPr>
          <w:w w:val="90"/>
          <w:sz w:val="20"/>
        </w:rPr>
        <w:t>Οι</w:t>
      </w:r>
      <w:r>
        <w:rPr>
          <w:sz w:val="20"/>
        </w:rPr>
        <w:t> </w:t>
      </w:r>
      <w:r>
        <w:rPr>
          <w:w w:val="90"/>
          <w:sz w:val="20"/>
        </w:rPr>
        <w:t>καταθέσεις</w:t>
      </w:r>
      <w:r>
        <w:rPr>
          <w:spacing w:val="1"/>
          <w:sz w:val="20"/>
        </w:rPr>
        <w:t> </w:t>
      </w:r>
      <w:r>
        <w:rPr>
          <w:w w:val="90"/>
          <w:sz w:val="20"/>
        </w:rPr>
        <w:t>σε</w:t>
      </w:r>
      <w:r>
        <w:rPr>
          <w:sz w:val="20"/>
        </w:rPr>
        <w:t> </w:t>
      </w:r>
      <w:r>
        <w:rPr>
          <w:w w:val="90"/>
          <w:sz w:val="20"/>
        </w:rPr>
        <w:t>επίπεδο</w:t>
      </w:r>
      <w:r>
        <w:rPr>
          <w:spacing w:val="3"/>
          <w:sz w:val="20"/>
        </w:rPr>
        <w:t> </w:t>
      </w:r>
      <w:r>
        <w:rPr>
          <w:w w:val="90"/>
          <w:sz w:val="20"/>
        </w:rPr>
        <w:t>Ομίλου</w:t>
      </w:r>
      <w:r>
        <w:rPr>
          <w:spacing w:val="3"/>
          <w:sz w:val="20"/>
        </w:rPr>
        <w:t> </w:t>
      </w:r>
      <w:r>
        <w:rPr>
          <w:w w:val="90"/>
          <w:sz w:val="20"/>
        </w:rPr>
        <w:t>αυξήθηκαν</w:t>
      </w:r>
      <w:r>
        <w:rPr>
          <w:spacing w:val="-1"/>
          <w:sz w:val="20"/>
        </w:rPr>
        <w:t> </w:t>
      </w:r>
      <w:r>
        <w:rPr>
          <w:w w:val="90"/>
          <w:sz w:val="20"/>
        </w:rPr>
        <w:t>κατά</w:t>
      </w:r>
      <w:r>
        <w:rPr>
          <w:sz w:val="20"/>
        </w:rPr>
        <w:t> </w:t>
      </w:r>
      <w:r>
        <w:rPr>
          <w:w w:val="90"/>
          <w:sz w:val="20"/>
        </w:rPr>
        <w:t>5,5%</w:t>
      </w:r>
      <w:r>
        <w:rPr>
          <w:sz w:val="20"/>
        </w:rPr>
        <w:t> </w:t>
      </w:r>
      <w:r>
        <w:rPr>
          <w:w w:val="90"/>
          <w:sz w:val="20"/>
        </w:rPr>
        <w:t>σε</w:t>
      </w:r>
      <w:r>
        <w:rPr>
          <w:spacing w:val="3"/>
          <w:sz w:val="20"/>
        </w:rPr>
        <w:t> </w:t>
      </w:r>
      <w:r>
        <w:rPr>
          <w:w w:val="90"/>
          <w:sz w:val="20"/>
        </w:rPr>
        <w:t>τριμηνιαία</w:t>
      </w:r>
      <w:r>
        <w:rPr>
          <w:spacing w:val="3"/>
          <w:sz w:val="20"/>
        </w:rPr>
        <w:t> </w:t>
      </w:r>
      <w:r>
        <w:rPr>
          <w:w w:val="90"/>
          <w:sz w:val="20"/>
        </w:rPr>
        <w:t>βάση</w:t>
      </w:r>
      <w:r>
        <w:rPr>
          <w:spacing w:val="6"/>
          <w:sz w:val="20"/>
        </w:rPr>
        <w:t> </w:t>
      </w:r>
      <w:r>
        <w:rPr>
          <w:w w:val="90"/>
          <w:sz w:val="20"/>
        </w:rPr>
        <w:t>ή</w:t>
      </w:r>
      <w:r>
        <w:rPr>
          <w:spacing w:val="4"/>
          <w:sz w:val="20"/>
        </w:rPr>
        <w:t> </w:t>
      </w:r>
      <w:r>
        <w:rPr>
          <w:w w:val="90"/>
          <w:sz w:val="20"/>
        </w:rPr>
        <w:t>κατά</w:t>
      </w:r>
      <w:r>
        <w:rPr>
          <w:sz w:val="20"/>
        </w:rPr>
        <w:t> </w:t>
      </w:r>
      <w:r>
        <w:rPr>
          <w:w w:val="90"/>
          <w:sz w:val="20"/>
        </w:rPr>
        <w:t>€3,1</w:t>
      </w:r>
      <w:r>
        <w:rPr>
          <w:spacing w:val="2"/>
          <w:sz w:val="20"/>
        </w:rPr>
        <w:t> </w:t>
      </w:r>
      <w:r>
        <w:rPr>
          <w:w w:val="90"/>
          <w:sz w:val="20"/>
        </w:rPr>
        <w:t>δισ.</w:t>
      </w:r>
      <w:r>
        <w:rPr>
          <w:spacing w:val="70"/>
          <w:sz w:val="20"/>
        </w:rPr>
        <w:t> </w:t>
      </w:r>
      <w:r>
        <w:rPr>
          <w:spacing w:val="-5"/>
          <w:w w:val="90"/>
          <w:sz w:val="20"/>
        </w:rPr>
        <w:t>Οι</w:t>
      </w:r>
    </w:p>
    <w:p>
      <w:pPr>
        <w:spacing w:line="244" w:lineRule="auto" w:before="2"/>
        <w:ind w:left="927" w:right="749" w:firstLine="0"/>
        <w:jc w:val="left"/>
        <w:rPr>
          <w:sz w:val="20"/>
        </w:rPr>
      </w:pPr>
      <w:r>
        <w:rPr>
          <w:w w:val="90"/>
          <w:sz w:val="20"/>
        </w:rPr>
        <w:t>προθεσμιακές καταθέσεις ως ποσοστό</w:t>
      </w:r>
      <w:r>
        <w:rPr>
          <w:sz w:val="20"/>
        </w:rPr>
        <w:t> </w:t>
      </w:r>
      <w:r>
        <w:rPr>
          <w:w w:val="90"/>
          <w:sz w:val="20"/>
        </w:rPr>
        <w:t>του συνόλου των καταθέσεων της Τράπεζας ανήλθαν σε 29%,</w:t>
      </w:r>
      <w:r>
        <w:rPr>
          <w:spacing w:val="40"/>
          <w:sz w:val="20"/>
        </w:rPr>
        <w:t> </w:t>
      </w:r>
      <w:r>
        <w:rPr>
          <w:spacing w:val="-6"/>
          <w:sz w:val="20"/>
        </w:rPr>
        <w:t>ενισχυμένες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κατά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1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ποσοστιαία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μονάδα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β’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τρίμηνο,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με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την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αύξηση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των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επιτοκίων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καταθέσεων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ως </w:t>
      </w:r>
      <w:r>
        <w:rPr>
          <w:spacing w:val="-8"/>
          <w:sz w:val="20"/>
        </w:rPr>
        <w:t>ποσοστό της αύξησης των επιτοκίων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της αγοράς (beta) να ανέρχεται σε 22%. Τα κεφάλαια πελατών </w:t>
      </w:r>
      <w:r>
        <w:rPr>
          <w:w w:val="90"/>
          <w:sz w:val="20"/>
        </w:rPr>
        <w:t>ενισχύθηκαν κατά 22,3% σε ετήσια βάση, ως αποτέλεσμα της αύξησης των καταθέσεων κατά 14% σε </w:t>
      </w:r>
      <w:r>
        <w:rPr>
          <w:spacing w:val="-4"/>
          <w:sz w:val="20"/>
        </w:rPr>
        <w:t>ετήσια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βάση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και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της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αύξησης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των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υπό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Διαχείριση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Περιουσιακών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Στοιχείων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(AUMs)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κατά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43,5% </w:t>
      </w:r>
      <w:r>
        <w:rPr>
          <w:spacing w:val="-2"/>
          <w:sz w:val="20"/>
        </w:rPr>
        <w:t>αντιστοίχως.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2" w:lineRule="auto" w:before="124" w:after="0"/>
        <w:ind w:left="927" w:right="1301" w:hanging="361"/>
        <w:jc w:val="left"/>
        <w:rPr>
          <w:sz w:val="20"/>
        </w:rPr>
      </w:pPr>
      <w:r>
        <w:rPr>
          <w:spacing w:val="-8"/>
          <w:sz w:val="20"/>
        </w:rPr>
        <w:t>Ο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Δείκτης Μη Εξυπηρετούμενων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Ανοιγμάτων του</w:t>
      </w:r>
      <w:r>
        <w:rPr>
          <w:spacing w:val="-10"/>
          <w:sz w:val="20"/>
        </w:rPr>
        <w:t> </w:t>
      </w:r>
      <w:r>
        <w:rPr>
          <w:spacing w:val="-8"/>
          <w:sz w:val="20"/>
        </w:rPr>
        <w:t>Ομίλου διαμορφώθηκε σε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3,6%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ενώ το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κόστος </w:t>
      </w:r>
      <w:r>
        <w:rPr>
          <w:spacing w:val="-6"/>
          <w:sz w:val="20"/>
        </w:rPr>
        <w:t>πιστωτικού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Κινδύνου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ανήλθε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σε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39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μ.β.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β’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τρίμηνο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και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42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μ.β.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α’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εξάμηνο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2026.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2" w:lineRule="auto" w:before="126" w:after="0"/>
        <w:ind w:left="927" w:right="412" w:hanging="361"/>
        <w:jc w:val="left"/>
        <w:rPr>
          <w:sz w:val="20"/>
        </w:rPr>
      </w:pPr>
      <w:r>
        <w:rPr>
          <w:w w:val="90"/>
          <w:sz w:val="20"/>
        </w:rPr>
        <w:t>Ο Δείκτης CET1 ανήλθε σε 14,3% λαμβάνοντας υπόψη την πρόβλεψη για διανομή μερίσματος ύψους €273 </w:t>
      </w:r>
      <w:r>
        <w:rPr>
          <w:spacing w:val="-6"/>
          <w:sz w:val="20"/>
        </w:rPr>
        <w:t>εκατ.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για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α’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εξάμηνο,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ως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αποτέλεσμα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της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θετικής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συνεισφοράς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κατά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71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μ.β.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από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την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οργανική</w:t>
      </w:r>
    </w:p>
    <w:p>
      <w:pPr>
        <w:spacing w:before="1"/>
        <w:ind w:left="927" w:right="0" w:firstLine="0"/>
        <w:jc w:val="left"/>
        <w:rPr>
          <w:sz w:val="20"/>
        </w:rPr>
      </w:pPr>
      <w:r>
        <w:rPr>
          <w:w w:val="90"/>
          <w:sz w:val="20"/>
        </w:rPr>
        <w:t>κερδοφορία</w:t>
      </w:r>
      <w:r>
        <w:rPr>
          <w:spacing w:val="17"/>
          <w:sz w:val="20"/>
        </w:rPr>
        <w:t> </w:t>
      </w:r>
      <w:r>
        <w:rPr>
          <w:w w:val="90"/>
          <w:sz w:val="20"/>
        </w:rPr>
        <w:t>του</w:t>
      </w:r>
      <w:r>
        <w:rPr>
          <w:spacing w:val="20"/>
          <w:sz w:val="20"/>
        </w:rPr>
        <w:t> </w:t>
      </w:r>
      <w:r>
        <w:rPr>
          <w:spacing w:val="-2"/>
          <w:w w:val="90"/>
          <w:sz w:val="20"/>
        </w:rPr>
        <w:t>τριμήνου.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2" w:lineRule="auto" w:before="129" w:after="0"/>
        <w:ind w:left="927" w:right="631" w:hanging="361"/>
        <w:jc w:val="left"/>
        <w:rPr>
          <w:sz w:val="20"/>
        </w:rPr>
      </w:pPr>
      <w:r>
        <w:rPr>
          <w:w w:val="90"/>
          <w:sz w:val="20"/>
        </w:rPr>
        <w:t>Η Ενσώματη Καθαρή Αξία της Τράπεζας ανήλθε σε €7,8 δισ., ενισχυμένη κατά 1,6% σε τριμηνιαία βάση, </w:t>
      </w:r>
      <w:r>
        <w:rPr>
          <w:spacing w:val="-6"/>
          <w:sz w:val="20"/>
        </w:rPr>
        <w:t>και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3,1%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σε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ετήσια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βάση,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ή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7,4%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ετησίως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μη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λαμβάνοντας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υπόψη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τις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καταβολές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μερισμάτων.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Heading1"/>
      </w:pPr>
      <w:r>
        <w:rPr>
          <w:color w:val="5B92C9"/>
          <w:spacing w:val="-8"/>
        </w:rPr>
        <w:t>Επισκόπηση</w:t>
      </w:r>
      <w:r>
        <w:rPr>
          <w:color w:val="5B92C9"/>
          <w:spacing w:val="-2"/>
        </w:rPr>
        <w:t> Αποτελεσμάτων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9" w:lineRule="auto" w:before="118" w:after="0"/>
        <w:ind w:left="927" w:right="797" w:hanging="361"/>
        <w:jc w:val="left"/>
        <w:rPr>
          <w:sz w:val="20"/>
        </w:rPr>
      </w:pPr>
      <w:r>
        <w:rPr>
          <w:w w:val="90"/>
          <w:sz w:val="20"/>
        </w:rPr>
        <w:t>To β’ τρίμηνο, το Καθαρό Έσοδο Τόκων ανήλθε σε €436,4 εκατ. αυξημένο κατά €20,2 εκατ. ή 4,8% σε </w:t>
      </w:r>
      <w:r>
        <w:rPr>
          <w:spacing w:val="-6"/>
          <w:sz w:val="20"/>
        </w:rPr>
        <w:t>τριμηνιαία βάση,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ως αποτέλεσμα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της θετικής συνεισφοράς του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χαρτοφυλακίου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των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δανείων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και των </w:t>
      </w:r>
      <w:r>
        <w:rPr>
          <w:spacing w:val="-8"/>
          <w:sz w:val="20"/>
        </w:rPr>
        <w:t>ομολόγων, κυρίως λόγω αυξημένων υπολοίπων. Το Καθαρό Έσοδο Τόκων για το εξάμηνο ενισχύθηκε </w:t>
      </w:r>
      <w:r>
        <w:rPr>
          <w:spacing w:val="-2"/>
          <w:sz w:val="20"/>
        </w:rPr>
        <w:t>κατά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7,3%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σε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ετήσια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βάση.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9" w:lineRule="auto" w:before="119" w:after="0"/>
        <w:ind w:left="927" w:right="831" w:hanging="361"/>
        <w:jc w:val="left"/>
        <w:rPr>
          <w:sz w:val="20"/>
        </w:rPr>
      </w:pPr>
      <w:r>
        <w:rPr>
          <w:spacing w:val="-6"/>
          <w:sz w:val="20"/>
        </w:rPr>
        <w:t>Τα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Έσοδα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από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αμοιβές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υπηρεσιών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διαμορφώθηκαν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σε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€186,7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εκατ.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β’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τρίμηνο,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ενισχυμένα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κατά </w:t>
      </w:r>
      <w:r>
        <w:rPr>
          <w:spacing w:val="-8"/>
          <w:sz w:val="20"/>
        </w:rPr>
        <w:t>33,6% σε τριμηνιαία βάση, κυρίως ως αποτέλεσμα της αύξησης των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εσόδων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διαχείρισης ακινήτων, τα </w:t>
      </w:r>
      <w:r>
        <w:rPr>
          <w:spacing w:val="-6"/>
          <w:sz w:val="20"/>
        </w:rPr>
        <w:t>οποία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επωφελήθηκαν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από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μέρισμα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της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PRODEA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Investments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ύψους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€39,6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εκατ.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Εξαιρουμένου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του</w:t>
      </w:r>
    </w:p>
    <w:p>
      <w:pPr>
        <w:spacing w:line="249" w:lineRule="auto" w:before="0"/>
        <w:ind w:left="927" w:right="749" w:firstLine="0"/>
        <w:jc w:val="left"/>
        <w:rPr>
          <w:sz w:val="20"/>
        </w:rPr>
      </w:pPr>
      <w:r>
        <w:rPr>
          <w:w w:val="90"/>
          <w:sz w:val="20"/>
        </w:rPr>
        <w:t>μερίσματος της PRODEA,</w:t>
      </w:r>
      <w:r>
        <w:rPr>
          <w:sz w:val="20"/>
        </w:rPr>
        <w:t> </w:t>
      </w:r>
      <w:r>
        <w:rPr>
          <w:w w:val="90"/>
          <w:sz w:val="20"/>
        </w:rPr>
        <w:t>τα έσοδα από αμοιβές υπηρεσιών αυξήθηκαν κατά +5,3% σε τριμηνιαία βάση,</w:t>
      </w:r>
      <w:r>
        <w:rPr>
          <w:spacing w:val="80"/>
          <w:sz w:val="20"/>
        </w:rPr>
        <w:t> </w:t>
      </w:r>
      <w:r>
        <w:rPr>
          <w:spacing w:val="-4"/>
          <w:sz w:val="20"/>
        </w:rPr>
        <w:t>ως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αποτέλεσμα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των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υψηλότερων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εσόδων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από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δραστηριότητες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επενδυτικής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τραπεζικής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και</w:t>
      </w:r>
    </w:p>
    <w:p>
      <w:pPr>
        <w:spacing w:line="249" w:lineRule="auto" w:before="0"/>
        <w:ind w:left="927" w:right="749" w:firstLine="0"/>
        <w:jc w:val="left"/>
        <w:rPr>
          <w:sz w:val="20"/>
        </w:rPr>
      </w:pPr>
      <w:r>
        <w:rPr>
          <w:spacing w:val="-6"/>
          <w:sz w:val="20"/>
        </w:rPr>
        <w:t>χρηματιστηριακών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εργασιών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καθώς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και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των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υψηλότερων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εσόδων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από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Κάρτες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και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Πληρωμές.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α’ </w:t>
      </w:r>
      <w:r>
        <w:rPr>
          <w:w w:val="90"/>
          <w:sz w:val="20"/>
        </w:rPr>
        <w:t>εξάμηνο 2026, τα έσοδα από αμοιβές υπηρεσιών αυξήθηκαν κατά +34% ή +23,7% σε ετήσια βάση, </w:t>
      </w:r>
      <w:r>
        <w:rPr>
          <w:spacing w:val="-2"/>
          <w:sz w:val="20"/>
        </w:rPr>
        <w:t>εξαιρουμένων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των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μερισμάτων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από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την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PRODEA.</w:t>
      </w:r>
    </w:p>
    <w:p>
      <w:pPr>
        <w:spacing w:after="0" w:line="249" w:lineRule="auto"/>
        <w:jc w:val="left"/>
        <w:rPr>
          <w:sz w:val="20"/>
        </w:rPr>
        <w:sectPr>
          <w:headerReference w:type="default" r:id="rId9"/>
          <w:footerReference w:type="default" r:id="rId10"/>
          <w:pgSz w:w="11920" w:h="16850"/>
          <w:pgMar w:header="639" w:footer="249" w:top="1260" w:bottom="440" w:left="283" w:right="425"/>
          <w:pgNumType w:start="2"/>
        </w:sectPr>
      </w:pPr>
    </w:p>
    <w:p>
      <w:pPr>
        <w:pStyle w:val="BodyText"/>
        <w:spacing w:before="135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0" w:lineRule="auto" w:before="0" w:after="0"/>
        <w:ind w:left="927" w:right="327" w:hanging="361"/>
        <w:jc w:val="left"/>
        <w:rPr>
          <w:sz w:val="20"/>
        </w:rPr>
      </w:pPr>
      <w:r>
        <w:rPr>
          <w:w w:val="90"/>
          <w:sz w:val="20"/>
        </w:rPr>
        <w:t>Τα Επαναλαμβανόμενα Λειτουργικά Έξοδα ανήλθαν σε €239,5 εκατ., αυξημένα κατά 4,9% σε σχέση με το α’ </w:t>
      </w:r>
      <w:r>
        <w:rPr>
          <w:spacing w:val="-6"/>
          <w:sz w:val="20"/>
        </w:rPr>
        <w:t>τρίμηνο,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ως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αποτέλεσμα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των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υψηλότερων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αποδοχών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Προσωπικού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(+8,5%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σε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τριμηνιαία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βάση)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κυρίως λόγω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της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αυξημένης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πρόβλεψης για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μεταβλητές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αποδοχές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(bonus)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καθώς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και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των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υψηλότερων</w:t>
      </w:r>
    </w:p>
    <w:p>
      <w:pPr>
        <w:spacing w:before="0"/>
        <w:ind w:left="927" w:right="0" w:firstLine="0"/>
        <w:jc w:val="left"/>
        <w:rPr>
          <w:sz w:val="20"/>
        </w:rPr>
      </w:pPr>
      <w:r>
        <w:rPr>
          <w:spacing w:val="-8"/>
          <w:sz w:val="20"/>
        </w:rPr>
        <w:t>αποσβέσεων (+7,8% σε τριμηνιαία βάση). Κατά το α’ εξάμηνο του 2026, τα επαναλαμβανόμενα έξοδα </w:t>
      </w:r>
      <w:r>
        <w:rPr>
          <w:w w:val="90"/>
          <w:sz w:val="20"/>
        </w:rPr>
        <w:t>αυξήθηκαν κατά +13,6%, κυρίως λόγω των υψηλότερων αμοιβών προσωπικού, καθώς και των αυξημένων </w:t>
      </w:r>
      <w:r>
        <w:rPr>
          <w:spacing w:val="-2"/>
          <w:sz w:val="20"/>
        </w:rPr>
        <w:t>γενικών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εξόδων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και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των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αποσβέσεων.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7" w:lineRule="auto" w:before="145" w:after="0"/>
        <w:ind w:left="927" w:right="1079" w:hanging="361"/>
        <w:jc w:val="left"/>
        <w:rPr>
          <w:sz w:val="20"/>
        </w:rPr>
      </w:pPr>
      <w:r>
        <w:rPr>
          <w:spacing w:val="-6"/>
          <w:sz w:val="20"/>
        </w:rPr>
        <w:t>Το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β’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τρίμηνο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2026,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Κόστος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Πιστωτικού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Κινδύνου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ανήλθε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σε 39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μ.β.,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μειωμένο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κατά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5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μονάδες βάσης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τριμηνιαία.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α’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εξάμηνο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Κόστος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Πιστωτικού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Κινδύνου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ανήλθε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σε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42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μ.β.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μειωμένο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κατά </w:t>
      </w:r>
      <w:r>
        <w:rPr>
          <w:sz w:val="20"/>
        </w:rPr>
        <w:t>4 μ.β. ετησίως.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9" w:lineRule="auto" w:before="125" w:after="0"/>
        <w:ind w:left="927" w:right="360" w:hanging="361"/>
        <w:jc w:val="left"/>
        <w:rPr>
          <w:sz w:val="20"/>
        </w:rPr>
      </w:pPr>
      <w:r>
        <w:rPr>
          <w:spacing w:val="-8"/>
          <w:sz w:val="20"/>
        </w:rPr>
        <w:t>Τα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Προσαρμοσμένα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Καθαρά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Κέρδη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μετά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από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Φόρους,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τα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οποία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ανήλθαν</w:t>
      </w:r>
      <w:r>
        <w:rPr>
          <w:spacing w:val="-10"/>
          <w:sz w:val="20"/>
        </w:rPr>
        <w:t> </w:t>
      </w:r>
      <w:r>
        <w:rPr>
          <w:spacing w:val="-8"/>
          <w:sz w:val="20"/>
        </w:rPr>
        <w:t>σε €275</w:t>
      </w:r>
      <w:r>
        <w:rPr>
          <w:spacing w:val="-10"/>
          <w:sz w:val="20"/>
        </w:rPr>
        <w:t> </w:t>
      </w:r>
      <w:r>
        <w:rPr>
          <w:spacing w:val="-8"/>
          <w:sz w:val="20"/>
        </w:rPr>
        <w:t>εκατ.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το β’ τρίμηνο 2026, </w:t>
      </w:r>
      <w:r>
        <w:rPr>
          <w:spacing w:val="-6"/>
          <w:sz w:val="20"/>
        </w:rPr>
        <w:t>ορίζονται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ως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τα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Καθαρά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κέρδη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μετά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τον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φόρο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εισοδήματος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ύψους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€316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εκατ.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μη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συμπεριλαμβανομένων: </w:t>
      </w:r>
      <w:r>
        <w:rPr>
          <w:spacing w:val="-8"/>
          <w:sz w:val="20"/>
        </w:rPr>
        <w:t>α) των αναπροσαρμογών που προέκυψαν από την αναγνώριση πρόσθετων Αναβαλλόμενων Φορολογικών </w:t>
      </w:r>
      <w:r>
        <w:rPr>
          <w:spacing w:val="-6"/>
          <w:sz w:val="20"/>
        </w:rPr>
        <w:t>Απαιτήσεων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ύψους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€118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εκατ.,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β)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της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μερικής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διαγραφής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μιας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αντιστάθμισης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ταμειακών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ροών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ύψους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€38 εκατ.,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γ) της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πρόβλεψης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σχετιζόμενης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με το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Πρόγραμμα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Εθελουσίας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Εξόδου Προσωπικού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στην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Κύπρο ύψους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€18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εκατ.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και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δ)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της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αρνητικής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επίπτωσης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λοιπών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αναπροσαρμογών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ύψους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€20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εκατ.</w:t>
      </w:r>
    </w:p>
    <w:p>
      <w:pPr>
        <w:pStyle w:val="ListParagraph"/>
        <w:spacing w:after="0" w:line="249" w:lineRule="auto"/>
        <w:jc w:val="left"/>
        <w:rPr>
          <w:sz w:val="20"/>
        </w:rPr>
        <w:sectPr>
          <w:pgSz w:w="11920" w:h="16850"/>
          <w:pgMar w:header="639" w:footer="249" w:top="1260" w:bottom="440" w:left="283" w:right="425"/>
        </w:sectPr>
      </w:pPr>
    </w:p>
    <w:p>
      <w:pPr>
        <w:pStyle w:val="BodyText"/>
        <w:spacing w:before="2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11"/>
          <w:footerReference w:type="default" r:id="rId12"/>
          <w:pgSz w:w="11920" w:h="16850"/>
          <w:pgMar w:header="639" w:footer="648" w:top="1260" w:bottom="840" w:left="283" w:right="425"/>
        </w:sectPr>
      </w:pPr>
    </w:p>
    <w:p>
      <w:pPr>
        <w:pStyle w:val="BodyText"/>
        <w:spacing w:before="22" w:after="1"/>
        <w:rPr>
          <w:sz w:val="20"/>
        </w:rPr>
      </w:pPr>
    </w:p>
    <w:p>
      <w:pPr>
        <w:spacing w:line="240" w:lineRule="auto"/>
        <w:ind w:left="12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800813" cy="269900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813" cy="269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pStyle w:val="BodyText"/>
        <w:spacing w:before="139"/>
        <w:rPr>
          <w:sz w:val="25"/>
        </w:rPr>
      </w:pPr>
    </w:p>
    <w:p>
      <w:pPr>
        <w:pStyle w:val="Heading2"/>
        <w:spacing w:line="235" w:lineRule="auto"/>
      </w:pPr>
      <w:r>
        <w:rPr>
          <w:color w:val="5B92C9"/>
          <w:w w:val="90"/>
        </w:rPr>
        <w:t>Οι</w:t>
      </w:r>
      <w:r>
        <w:rPr>
          <w:color w:val="5B92C9"/>
          <w:spacing w:val="-3"/>
          <w:w w:val="90"/>
        </w:rPr>
        <w:t> </w:t>
      </w:r>
      <w:r>
        <w:rPr>
          <w:color w:val="5B92C9"/>
          <w:w w:val="90"/>
        </w:rPr>
        <w:t>επιδόσεις</w:t>
      </w:r>
      <w:r>
        <w:rPr>
          <w:color w:val="5B92C9"/>
          <w:spacing w:val="-3"/>
          <w:w w:val="90"/>
        </w:rPr>
        <w:t> </w:t>
      </w:r>
      <w:r>
        <w:rPr>
          <w:color w:val="5B92C9"/>
          <w:w w:val="90"/>
        </w:rPr>
        <w:t>του </w:t>
      </w:r>
      <w:r>
        <w:rPr>
          <w:color w:val="5B92C9"/>
          <w:w w:val="80"/>
        </w:rPr>
        <w:t>πρώτου εξαμήνου </w:t>
      </w:r>
      <w:r>
        <w:rPr>
          <w:color w:val="5B92C9"/>
          <w:w w:val="95"/>
        </w:rPr>
        <w:t>οδηγούν</w:t>
      </w:r>
      <w:r>
        <w:rPr>
          <w:color w:val="5B92C9"/>
          <w:spacing w:val="-18"/>
          <w:w w:val="95"/>
        </w:rPr>
        <w:t> </w:t>
      </w:r>
      <w:r>
        <w:rPr>
          <w:color w:val="5B92C9"/>
          <w:w w:val="95"/>
        </w:rPr>
        <w:t>σε</w:t>
      </w:r>
    </w:p>
    <w:p>
      <w:pPr>
        <w:spacing w:line="235" w:lineRule="auto" w:before="0"/>
        <w:ind w:left="259" w:right="769" w:firstLine="0"/>
        <w:jc w:val="left"/>
        <w:rPr>
          <w:b/>
          <w:i/>
          <w:sz w:val="25"/>
        </w:rPr>
      </w:pPr>
      <w:r>
        <w:rPr>
          <w:b/>
          <w:i/>
          <w:color w:val="5B92C9"/>
          <w:w w:val="85"/>
          <w:sz w:val="25"/>
        </w:rPr>
        <w:t>αναβάθμιση των </w:t>
      </w:r>
      <w:r>
        <w:rPr>
          <w:b/>
          <w:i/>
          <w:color w:val="5B92C9"/>
          <w:w w:val="80"/>
          <w:sz w:val="25"/>
        </w:rPr>
        <w:t>προβλέψεών</w:t>
      </w:r>
      <w:r>
        <w:rPr>
          <w:b/>
          <w:i/>
          <w:color w:val="5B92C9"/>
          <w:spacing w:val="20"/>
          <w:sz w:val="25"/>
        </w:rPr>
        <w:t> </w:t>
      </w:r>
      <w:r>
        <w:rPr>
          <w:b/>
          <w:i/>
          <w:color w:val="5B92C9"/>
          <w:spacing w:val="-5"/>
          <w:w w:val="90"/>
          <w:sz w:val="25"/>
        </w:rPr>
        <w:t>μας</w:t>
      </w:r>
    </w:p>
    <w:p>
      <w:pPr>
        <w:spacing w:line="223" w:lineRule="auto" w:before="110"/>
        <w:ind w:left="126" w:right="0" w:firstLine="0"/>
        <w:jc w:val="left"/>
        <w:rPr>
          <w:sz w:val="17"/>
        </w:rPr>
      </w:pPr>
      <w:r>
        <w:rPr/>
        <w:br w:type="column"/>
      </w:r>
      <w:r>
        <w:rPr>
          <w:spacing w:val="-6"/>
          <w:sz w:val="18"/>
        </w:rPr>
        <w:t>«</w:t>
      </w:r>
      <w:r>
        <w:rPr>
          <w:spacing w:val="-6"/>
          <w:sz w:val="17"/>
        </w:rPr>
        <w:t>Η</w:t>
      </w:r>
      <w:r>
        <w:rPr>
          <w:spacing w:val="-15"/>
          <w:sz w:val="17"/>
        </w:rPr>
        <w:t> </w:t>
      </w:r>
      <w:r>
        <w:rPr>
          <w:spacing w:val="-6"/>
          <w:sz w:val="17"/>
        </w:rPr>
        <w:t>Alpha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Bank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κατέγραψε</w:t>
      </w:r>
      <w:r>
        <w:rPr>
          <w:spacing w:val="-15"/>
          <w:sz w:val="17"/>
        </w:rPr>
        <w:t> </w:t>
      </w:r>
      <w:r>
        <w:rPr>
          <w:spacing w:val="-6"/>
          <w:sz w:val="17"/>
        </w:rPr>
        <w:t>ένα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ισχυρό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δεύτερο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τρίμηνο,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με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αποτελέσματα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που</w:t>
      </w:r>
      <w:r>
        <w:rPr>
          <w:spacing w:val="-14"/>
          <w:sz w:val="17"/>
        </w:rPr>
        <w:t> </w:t>
      </w:r>
      <w:r>
        <w:rPr>
          <w:spacing w:val="-6"/>
          <w:sz w:val="17"/>
        </w:rPr>
        <w:t>αναδεικνύουν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το </w:t>
      </w:r>
      <w:r>
        <w:rPr>
          <w:spacing w:val="-4"/>
          <w:sz w:val="17"/>
        </w:rPr>
        <w:t>εύρος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και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την</w:t>
      </w:r>
      <w:r>
        <w:rPr>
          <w:spacing w:val="-15"/>
          <w:sz w:val="17"/>
        </w:rPr>
        <w:t> </w:t>
      </w:r>
      <w:r>
        <w:rPr>
          <w:spacing w:val="-4"/>
          <w:sz w:val="17"/>
        </w:rPr>
        <w:t>ανθεκτικότητα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του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επιχειρηματικού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μας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μοντέλου,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καθώς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και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την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επιτυχία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των</w:t>
      </w:r>
    </w:p>
    <w:p>
      <w:pPr>
        <w:spacing w:line="191" w:lineRule="exact" w:before="0"/>
        <w:ind w:left="126" w:right="0" w:firstLine="0"/>
        <w:jc w:val="left"/>
        <w:rPr>
          <w:sz w:val="17"/>
        </w:rPr>
      </w:pPr>
      <w:r>
        <w:rPr>
          <w:w w:val="90"/>
          <w:sz w:val="17"/>
        </w:rPr>
        <w:t>επενδύσεων</w:t>
      </w:r>
      <w:r>
        <w:rPr>
          <w:spacing w:val="17"/>
          <w:sz w:val="17"/>
        </w:rPr>
        <w:t> </w:t>
      </w:r>
      <w:r>
        <w:rPr>
          <w:w w:val="90"/>
          <w:sz w:val="17"/>
        </w:rPr>
        <w:t>που</w:t>
      </w:r>
      <w:r>
        <w:rPr>
          <w:spacing w:val="18"/>
          <w:sz w:val="17"/>
        </w:rPr>
        <w:t> </w:t>
      </w:r>
      <w:r>
        <w:rPr>
          <w:w w:val="90"/>
          <w:sz w:val="17"/>
        </w:rPr>
        <w:t>πραγματοποιήσαμε</w:t>
      </w:r>
      <w:r>
        <w:rPr>
          <w:spacing w:val="17"/>
          <w:sz w:val="17"/>
        </w:rPr>
        <w:t> </w:t>
      </w:r>
      <w:r>
        <w:rPr>
          <w:w w:val="90"/>
          <w:sz w:val="17"/>
        </w:rPr>
        <w:t>για</w:t>
      </w:r>
      <w:r>
        <w:rPr>
          <w:spacing w:val="21"/>
          <w:sz w:val="17"/>
        </w:rPr>
        <w:t> </w:t>
      </w:r>
      <w:r>
        <w:rPr>
          <w:w w:val="90"/>
          <w:sz w:val="17"/>
        </w:rPr>
        <w:t>τον</w:t>
      </w:r>
      <w:r>
        <w:rPr>
          <w:spacing w:val="18"/>
          <w:sz w:val="17"/>
        </w:rPr>
        <w:t> </w:t>
      </w:r>
      <w:r>
        <w:rPr>
          <w:w w:val="90"/>
          <w:sz w:val="17"/>
        </w:rPr>
        <w:t>μετασχηματισμό</w:t>
      </w:r>
      <w:r>
        <w:rPr>
          <w:spacing w:val="12"/>
          <w:sz w:val="17"/>
        </w:rPr>
        <w:t> </w:t>
      </w:r>
      <w:r>
        <w:rPr>
          <w:w w:val="90"/>
          <w:sz w:val="17"/>
        </w:rPr>
        <w:t>των</w:t>
      </w:r>
      <w:r>
        <w:rPr>
          <w:spacing w:val="19"/>
          <w:sz w:val="17"/>
        </w:rPr>
        <w:t> </w:t>
      </w:r>
      <w:r>
        <w:rPr>
          <w:w w:val="90"/>
          <w:sz w:val="17"/>
        </w:rPr>
        <w:t>δραστηριοτήτων</w:t>
      </w:r>
      <w:r>
        <w:rPr>
          <w:spacing w:val="19"/>
          <w:sz w:val="17"/>
        </w:rPr>
        <w:t> </w:t>
      </w:r>
      <w:r>
        <w:rPr>
          <w:w w:val="90"/>
          <w:sz w:val="17"/>
        </w:rPr>
        <w:t>μας.</w:t>
      </w:r>
      <w:r>
        <w:rPr>
          <w:spacing w:val="18"/>
          <w:sz w:val="17"/>
        </w:rPr>
        <w:t> </w:t>
      </w:r>
      <w:r>
        <w:rPr>
          <w:spacing w:val="-10"/>
          <w:w w:val="90"/>
          <w:sz w:val="17"/>
        </w:rPr>
        <w:t>Η</w:t>
      </w:r>
    </w:p>
    <w:p>
      <w:pPr>
        <w:spacing w:line="225" w:lineRule="auto" w:before="4"/>
        <w:ind w:left="126" w:right="0" w:firstLine="0"/>
        <w:jc w:val="left"/>
        <w:rPr>
          <w:sz w:val="17"/>
        </w:rPr>
      </w:pPr>
      <w:r>
        <w:rPr>
          <w:spacing w:val="-6"/>
          <w:sz w:val="17"/>
        </w:rPr>
        <w:t>επίδοση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αυτή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μας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επιτρέπει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να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αναθεωρήσουμε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προς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τα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πάνω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την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εκτίμησή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μας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για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τα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κέρδη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ανά </w:t>
      </w:r>
      <w:r>
        <w:rPr>
          <w:spacing w:val="-2"/>
          <w:sz w:val="17"/>
        </w:rPr>
        <w:t>μετοχή</w:t>
      </w:r>
      <w:r>
        <w:rPr>
          <w:spacing w:val="-13"/>
          <w:sz w:val="17"/>
        </w:rPr>
        <w:t> </w:t>
      </w:r>
      <w:r>
        <w:rPr>
          <w:spacing w:val="-2"/>
          <w:sz w:val="17"/>
        </w:rPr>
        <w:t>(EPS),</w:t>
      </w:r>
      <w:r>
        <w:rPr>
          <w:spacing w:val="-13"/>
          <w:sz w:val="17"/>
        </w:rPr>
        <w:t> </w:t>
      </w:r>
      <w:r>
        <w:rPr>
          <w:spacing w:val="-2"/>
          <w:sz w:val="17"/>
        </w:rPr>
        <w:t>στα</w:t>
      </w:r>
      <w:r>
        <w:rPr>
          <w:spacing w:val="-13"/>
          <w:sz w:val="17"/>
        </w:rPr>
        <w:t> </w:t>
      </w:r>
      <w:r>
        <w:rPr>
          <w:spacing w:val="-2"/>
          <w:sz w:val="17"/>
        </w:rPr>
        <w:t>€0,41.</w:t>
      </w:r>
    </w:p>
    <w:p>
      <w:pPr>
        <w:pStyle w:val="BodyText"/>
        <w:spacing w:before="17"/>
        <w:rPr>
          <w:sz w:val="17"/>
        </w:rPr>
      </w:pPr>
    </w:p>
    <w:p>
      <w:pPr>
        <w:spacing w:line="225" w:lineRule="auto" w:before="0"/>
        <w:ind w:left="126" w:right="0" w:firstLine="0"/>
        <w:jc w:val="left"/>
        <w:rPr>
          <w:sz w:val="17"/>
        </w:rPr>
      </w:pPr>
      <w:r>
        <w:rPr>
          <w:w w:val="90"/>
          <w:sz w:val="17"/>
        </w:rPr>
        <w:t>Κατά το πρώτο εξάμηνο του έτους, τα καθαρά έσοδα από τόκους ανήλθαν σε €853 εκατ., αυξημένα </w:t>
      </w:r>
      <w:r>
        <w:rPr>
          <w:spacing w:val="-4"/>
          <w:sz w:val="17"/>
        </w:rPr>
        <w:t>κατά</w:t>
      </w:r>
      <w:r>
        <w:rPr>
          <w:spacing w:val="-14"/>
          <w:sz w:val="17"/>
        </w:rPr>
        <w:t> </w:t>
      </w:r>
      <w:r>
        <w:rPr>
          <w:spacing w:val="-4"/>
          <w:sz w:val="17"/>
        </w:rPr>
        <w:t>7,3%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σε</w:t>
      </w:r>
      <w:r>
        <w:rPr>
          <w:spacing w:val="-15"/>
          <w:sz w:val="17"/>
        </w:rPr>
        <w:t> </w:t>
      </w:r>
      <w:r>
        <w:rPr>
          <w:spacing w:val="-4"/>
          <w:sz w:val="17"/>
        </w:rPr>
        <w:t>ετήσια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βάση,</w:t>
      </w:r>
      <w:r>
        <w:rPr>
          <w:spacing w:val="-14"/>
          <w:sz w:val="17"/>
        </w:rPr>
        <w:t> </w:t>
      </w:r>
      <w:r>
        <w:rPr>
          <w:spacing w:val="-4"/>
          <w:sz w:val="17"/>
        </w:rPr>
        <w:t>υποστηριζόμενα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από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την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αύξηση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του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όγκου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των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χορηγήσεων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και</w:t>
      </w:r>
      <w:r>
        <w:rPr>
          <w:spacing w:val="-16"/>
          <w:sz w:val="17"/>
        </w:rPr>
        <w:t> </w:t>
      </w:r>
      <w:r>
        <w:rPr>
          <w:spacing w:val="-4"/>
          <w:sz w:val="17"/>
        </w:rPr>
        <w:t>τη </w:t>
      </w:r>
      <w:r>
        <w:rPr>
          <w:spacing w:val="-6"/>
          <w:sz w:val="17"/>
        </w:rPr>
        <w:t>διεύρυνση του επενδυτικού χαρτοφυλακίου. Τα έσοδα από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προμήθειες αυξήθηκαν κατά 34% σε</w:t>
      </w:r>
    </w:p>
    <w:p>
      <w:pPr>
        <w:spacing w:line="225" w:lineRule="auto" w:before="0"/>
        <w:ind w:left="126" w:right="0" w:firstLine="0"/>
        <w:jc w:val="left"/>
        <w:rPr>
          <w:sz w:val="17"/>
        </w:rPr>
      </w:pPr>
      <w:r>
        <w:rPr>
          <w:spacing w:val="-6"/>
          <w:sz w:val="17"/>
        </w:rPr>
        <w:t>ετήσια βάση,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ή κατά 24%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σε συγκρίσιμη βάση, με καθοριστική τη συμβολή των δραστηριοτήτων επενδυτικής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τραπεζικής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και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κεφαλαιαγορών,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ενώ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ισχυρή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ανάπτυξη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κατέγραψαν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και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οι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προμήθειες </w:t>
      </w:r>
      <w:r>
        <w:rPr>
          <w:spacing w:val="-2"/>
          <w:sz w:val="17"/>
        </w:rPr>
        <w:t>από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την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επιχειρηματική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πίστη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και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τη</w:t>
      </w:r>
      <w:r>
        <w:rPr>
          <w:spacing w:val="-13"/>
          <w:sz w:val="17"/>
        </w:rPr>
        <w:t> </w:t>
      </w:r>
      <w:r>
        <w:rPr>
          <w:spacing w:val="-2"/>
          <w:sz w:val="17"/>
        </w:rPr>
        <w:t>διαχείριση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κεφαλαίων.</w:t>
      </w:r>
    </w:p>
    <w:p>
      <w:pPr>
        <w:pStyle w:val="BodyText"/>
        <w:spacing w:before="28"/>
        <w:rPr>
          <w:sz w:val="17"/>
        </w:rPr>
      </w:pPr>
    </w:p>
    <w:p>
      <w:pPr>
        <w:spacing w:line="225" w:lineRule="auto" w:before="0"/>
        <w:ind w:left="126" w:right="106" w:firstLine="0"/>
        <w:jc w:val="left"/>
        <w:rPr>
          <w:sz w:val="17"/>
        </w:rPr>
      </w:pPr>
      <w:r>
        <w:rPr>
          <w:w w:val="90"/>
          <w:sz w:val="17"/>
        </w:rPr>
        <w:t>Τα λειτουργικά έξοδα διαμορφώθηκαν σε €470 εκατ., με τον δείκτη κόστους προς έσοδα στο 38%, </w:t>
      </w:r>
      <w:r>
        <w:rPr>
          <w:spacing w:val="-4"/>
          <w:sz w:val="17"/>
        </w:rPr>
        <w:t>ενώ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το</w:t>
      </w:r>
      <w:r>
        <w:rPr>
          <w:spacing w:val="-14"/>
          <w:sz w:val="17"/>
        </w:rPr>
        <w:t> </w:t>
      </w:r>
      <w:r>
        <w:rPr>
          <w:spacing w:val="-4"/>
          <w:sz w:val="17"/>
        </w:rPr>
        <w:t>κόστος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κινδύνου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παρέμεινε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στις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42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μονάδες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βάσης,</w:t>
      </w:r>
      <w:r>
        <w:rPr>
          <w:spacing w:val="-14"/>
          <w:sz w:val="17"/>
        </w:rPr>
        <w:t> </w:t>
      </w:r>
      <w:r>
        <w:rPr>
          <w:spacing w:val="-4"/>
          <w:sz w:val="17"/>
        </w:rPr>
        <w:t>αμφότερα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εντός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των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στόχων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μας.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Τα εξυπηρετούμενα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δάνεια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αυξήθηκαν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με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διψήφιο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ρυθμό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σε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ετήσια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βάση,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οι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καθαρές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εισροές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στα</w:t>
      </w:r>
    </w:p>
    <w:p>
      <w:pPr>
        <w:spacing w:line="225" w:lineRule="auto" w:before="0"/>
        <w:ind w:left="126" w:right="106" w:firstLine="0"/>
        <w:jc w:val="left"/>
        <w:rPr>
          <w:sz w:val="17"/>
        </w:rPr>
      </w:pPr>
      <w:r>
        <w:rPr>
          <w:spacing w:val="-4"/>
          <w:sz w:val="17"/>
        </w:rPr>
        <w:t>υπό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διαχείριση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κεφάλαια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αυξήθηκαν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στα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€0,6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δισ.,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ενώ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οι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καταθέσεις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παρουσίασαν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ισχυρή </w:t>
      </w:r>
      <w:r>
        <w:rPr>
          <w:spacing w:val="-6"/>
          <w:sz w:val="17"/>
        </w:rPr>
        <w:t>οργανική ανάπτυξη τόσο στους ιδιώτες όσο και στις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επιχειρήσεις. Συνολικά, ήδη από το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πρώτο </w:t>
      </w:r>
      <w:r>
        <w:rPr>
          <w:spacing w:val="-4"/>
          <w:sz w:val="17"/>
        </w:rPr>
        <w:t>εξάμηνο,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πετύχαμε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περισσότερο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από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το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ήμισυ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του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ετήσιου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στόχου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μας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για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τα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καθαρά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κέρδη, καθώς οι βασικοί παράγοντες ενίσχυσης της κερδοφορίας εξελίσσονται καλύτερα από τις</w:t>
      </w:r>
    </w:p>
    <w:p>
      <w:pPr>
        <w:spacing w:line="195" w:lineRule="exact" w:before="0"/>
        <w:ind w:left="126" w:right="0" w:firstLine="0"/>
        <w:jc w:val="left"/>
        <w:rPr>
          <w:sz w:val="17"/>
        </w:rPr>
      </w:pPr>
      <w:r>
        <w:rPr>
          <w:spacing w:val="-6"/>
          <w:sz w:val="17"/>
        </w:rPr>
        <w:t>εκτιμήσεις</w:t>
      </w:r>
      <w:r>
        <w:rPr>
          <w:spacing w:val="2"/>
          <w:sz w:val="17"/>
        </w:rPr>
        <w:t> </w:t>
      </w:r>
      <w:r>
        <w:rPr>
          <w:spacing w:val="-4"/>
          <w:sz w:val="17"/>
        </w:rPr>
        <w:t>μας.</w:t>
      </w:r>
    </w:p>
    <w:p>
      <w:pPr>
        <w:pStyle w:val="BodyText"/>
        <w:spacing w:before="2"/>
        <w:rPr>
          <w:sz w:val="17"/>
        </w:rPr>
      </w:pPr>
    </w:p>
    <w:p>
      <w:pPr>
        <w:spacing w:line="201" w:lineRule="exact" w:before="0"/>
        <w:ind w:left="126" w:right="0" w:firstLine="0"/>
        <w:jc w:val="left"/>
        <w:rPr>
          <w:sz w:val="17"/>
        </w:rPr>
      </w:pPr>
      <w:r>
        <w:rPr>
          <w:spacing w:val="-6"/>
          <w:sz w:val="17"/>
        </w:rPr>
        <w:t>Η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ισχυρή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αυτή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επίδοση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μάς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δίνει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επίσης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τη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δυνατότητα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να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αυξήσουμε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περαιτέρω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τις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διανομές</w:t>
      </w:r>
    </w:p>
    <w:p>
      <w:pPr>
        <w:spacing w:line="194" w:lineRule="exact" w:before="0"/>
        <w:ind w:left="126" w:right="0" w:firstLine="0"/>
        <w:jc w:val="left"/>
        <w:rPr>
          <w:sz w:val="17"/>
        </w:rPr>
      </w:pPr>
      <w:r>
        <w:rPr>
          <w:w w:val="90"/>
          <w:sz w:val="17"/>
        </w:rPr>
        <w:t>προς</w:t>
      </w:r>
      <w:r>
        <w:rPr>
          <w:spacing w:val="13"/>
          <w:sz w:val="17"/>
        </w:rPr>
        <w:t> </w:t>
      </w:r>
      <w:r>
        <w:rPr>
          <w:w w:val="90"/>
          <w:sz w:val="17"/>
        </w:rPr>
        <w:t>τους</w:t>
      </w:r>
      <w:r>
        <w:rPr>
          <w:spacing w:val="13"/>
          <w:sz w:val="17"/>
        </w:rPr>
        <w:t> </w:t>
      </w:r>
      <w:r>
        <w:rPr>
          <w:w w:val="90"/>
          <w:sz w:val="17"/>
        </w:rPr>
        <w:t>μετόχους</w:t>
      </w:r>
      <w:r>
        <w:rPr>
          <w:spacing w:val="13"/>
          <w:sz w:val="17"/>
        </w:rPr>
        <w:t> </w:t>
      </w:r>
      <w:r>
        <w:rPr>
          <w:w w:val="90"/>
          <w:sz w:val="17"/>
        </w:rPr>
        <w:t>μας.</w:t>
      </w:r>
      <w:r>
        <w:rPr>
          <w:spacing w:val="12"/>
          <w:sz w:val="17"/>
        </w:rPr>
        <w:t> </w:t>
      </w:r>
      <w:r>
        <w:rPr>
          <w:w w:val="90"/>
          <w:sz w:val="17"/>
        </w:rPr>
        <w:t>Ειδικότερα,</w:t>
      </w:r>
      <w:r>
        <w:rPr>
          <w:spacing w:val="12"/>
          <w:sz w:val="17"/>
        </w:rPr>
        <w:t> </w:t>
      </w:r>
      <w:r>
        <w:rPr>
          <w:w w:val="90"/>
          <w:sz w:val="17"/>
        </w:rPr>
        <w:t>για</w:t>
      </w:r>
      <w:r>
        <w:rPr>
          <w:spacing w:val="13"/>
          <w:sz w:val="17"/>
        </w:rPr>
        <w:t> </w:t>
      </w:r>
      <w:r>
        <w:rPr>
          <w:w w:val="90"/>
          <w:sz w:val="17"/>
        </w:rPr>
        <w:t>το</w:t>
      </w:r>
      <w:r>
        <w:rPr>
          <w:spacing w:val="9"/>
          <w:sz w:val="17"/>
        </w:rPr>
        <w:t> </w:t>
      </w:r>
      <w:r>
        <w:rPr>
          <w:w w:val="90"/>
          <w:sz w:val="17"/>
        </w:rPr>
        <w:t>πρώτο</w:t>
      </w:r>
      <w:r>
        <w:rPr>
          <w:spacing w:val="9"/>
          <w:sz w:val="17"/>
        </w:rPr>
        <w:t> </w:t>
      </w:r>
      <w:r>
        <w:rPr>
          <w:w w:val="90"/>
          <w:sz w:val="17"/>
        </w:rPr>
        <w:t>εξάμηνο</w:t>
      </w:r>
      <w:r>
        <w:rPr>
          <w:spacing w:val="10"/>
          <w:sz w:val="17"/>
        </w:rPr>
        <w:t> </w:t>
      </w:r>
      <w:r>
        <w:rPr>
          <w:w w:val="90"/>
          <w:sz w:val="17"/>
        </w:rPr>
        <w:t>έχουμε</w:t>
      </w:r>
      <w:r>
        <w:rPr>
          <w:spacing w:val="11"/>
          <w:sz w:val="17"/>
        </w:rPr>
        <w:t> </w:t>
      </w:r>
      <w:r>
        <w:rPr>
          <w:w w:val="90"/>
          <w:sz w:val="17"/>
        </w:rPr>
        <w:t>σχηματίσει</w:t>
      </w:r>
      <w:r>
        <w:rPr>
          <w:spacing w:val="10"/>
          <w:sz w:val="17"/>
        </w:rPr>
        <w:t> </w:t>
      </w:r>
      <w:r>
        <w:rPr>
          <w:w w:val="90"/>
          <w:sz w:val="17"/>
        </w:rPr>
        <w:t>πρόβλεψη</w:t>
      </w:r>
      <w:r>
        <w:rPr>
          <w:spacing w:val="6"/>
          <w:sz w:val="17"/>
        </w:rPr>
        <w:t> </w:t>
      </w:r>
      <w:r>
        <w:rPr>
          <w:spacing w:val="-4"/>
          <w:w w:val="90"/>
          <w:sz w:val="17"/>
        </w:rPr>
        <w:t>ύψους</w:t>
      </w:r>
    </w:p>
    <w:p>
      <w:pPr>
        <w:spacing w:line="225" w:lineRule="auto" w:before="5"/>
        <w:ind w:left="126" w:right="106" w:firstLine="0"/>
        <w:jc w:val="left"/>
        <w:rPr>
          <w:sz w:val="17"/>
        </w:rPr>
      </w:pPr>
      <w:r>
        <w:rPr>
          <w:spacing w:val="-4"/>
          <w:sz w:val="17"/>
        </w:rPr>
        <w:t>€273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εκατ.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για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διανομές,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και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στο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τέταρτο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τρίμηνο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σκοπεύουμε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να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καταβάλουμε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ενδιάμεσο </w:t>
      </w:r>
      <w:r>
        <w:rPr>
          <w:w w:val="90"/>
          <w:sz w:val="17"/>
        </w:rPr>
        <w:t>μέρισμα ύψους περίπου €124 εκατ., υπό την προϋπόθεση λήψης της σχετικής εποπτικής</w:t>
      </w:r>
      <w:r>
        <w:rPr>
          <w:sz w:val="17"/>
        </w:rPr>
        <w:t> </w:t>
      </w:r>
      <w:r>
        <w:rPr>
          <w:w w:val="90"/>
          <w:sz w:val="17"/>
        </w:rPr>
        <w:t>έγκρισης.</w:t>
      </w:r>
    </w:p>
    <w:p>
      <w:pPr>
        <w:pStyle w:val="BodyText"/>
        <w:spacing w:before="6"/>
        <w:rPr>
          <w:sz w:val="17"/>
        </w:rPr>
      </w:pPr>
    </w:p>
    <w:p>
      <w:pPr>
        <w:spacing w:line="201" w:lineRule="exact" w:before="0"/>
        <w:ind w:left="129" w:right="0" w:firstLine="0"/>
        <w:jc w:val="left"/>
        <w:rPr>
          <w:sz w:val="17"/>
        </w:rPr>
      </w:pPr>
      <w:r>
        <w:rPr>
          <w:spacing w:val="-6"/>
          <w:sz w:val="17"/>
        </w:rPr>
        <w:t>Ακόμη</w:t>
      </w:r>
      <w:r>
        <w:rPr>
          <w:spacing w:val="-2"/>
          <w:sz w:val="17"/>
        </w:rPr>
        <w:t> </w:t>
      </w:r>
      <w:r>
        <w:rPr>
          <w:spacing w:val="-6"/>
          <w:sz w:val="17"/>
        </w:rPr>
        <w:t>σημαντικότερος,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όμως,</w:t>
      </w:r>
      <w:r>
        <w:rPr>
          <w:sz w:val="17"/>
        </w:rPr>
        <w:t> </w:t>
      </w:r>
      <w:r>
        <w:rPr>
          <w:spacing w:val="-6"/>
          <w:sz w:val="17"/>
        </w:rPr>
        <w:t>είναι</w:t>
      </w:r>
      <w:r>
        <w:rPr>
          <w:spacing w:val="-2"/>
          <w:sz w:val="17"/>
        </w:rPr>
        <w:t> </w:t>
      </w:r>
      <w:r>
        <w:rPr>
          <w:spacing w:val="-6"/>
          <w:sz w:val="17"/>
        </w:rPr>
        <w:t>ο</w:t>
      </w:r>
      <w:r>
        <w:rPr>
          <w:spacing w:val="-2"/>
          <w:sz w:val="17"/>
        </w:rPr>
        <w:t> </w:t>
      </w:r>
      <w:r>
        <w:rPr>
          <w:spacing w:val="-6"/>
          <w:sz w:val="17"/>
        </w:rPr>
        <w:t>μετασχηματισμός</w:t>
      </w:r>
      <w:r>
        <w:rPr>
          <w:spacing w:val="1"/>
          <w:sz w:val="17"/>
        </w:rPr>
        <w:t> </w:t>
      </w:r>
      <w:r>
        <w:rPr>
          <w:spacing w:val="-6"/>
          <w:sz w:val="17"/>
        </w:rPr>
        <w:t>στον</w:t>
      </w:r>
      <w:r>
        <w:rPr>
          <w:spacing w:val="-5"/>
          <w:sz w:val="17"/>
        </w:rPr>
        <w:t> </w:t>
      </w:r>
      <w:r>
        <w:rPr>
          <w:spacing w:val="-6"/>
          <w:sz w:val="17"/>
        </w:rPr>
        <w:t>οποίο</w:t>
      </w:r>
      <w:r>
        <w:rPr>
          <w:spacing w:val="-1"/>
          <w:sz w:val="17"/>
        </w:rPr>
        <w:t> </w:t>
      </w:r>
      <w:r>
        <w:rPr>
          <w:spacing w:val="-6"/>
          <w:sz w:val="17"/>
        </w:rPr>
        <w:t>βασίζονται</w:t>
      </w:r>
      <w:r>
        <w:rPr>
          <w:spacing w:val="-2"/>
          <w:sz w:val="17"/>
        </w:rPr>
        <w:t> </w:t>
      </w:r>
      <w:r>
        <w:rPr>
          <w:spacing w:val="-6"/>
          <w:sz w:val="17"/>
        </w:rPr>
        <w:t>οι</w:t>
      </w:r>
      <w:r>
        <w:rPr>
          <w:spacing w:val="-2"/>
          <w:sz w:val="17"/>
        </w:rPr>
        <w:t> </w:t>
      </w:r>
      <w:r>
        <w:rPr>
          <w:spacing w:val="-6"/>
          <w:sz w:val="17"/>
        </w:rPr>
        <w:t>παραπάνω</w:t>
      </w:r>
    </w:p>
    <w:p>
      <w:pPr>
        <w:spacing w:line="225" w:lineRule="auto" w:before="4"/>
        <w:ind w:left="129" w:right="0" w:firstLine="0"/>
        <w:jc w:val="left"/>
        <w:rPr>
          <w:sz w:val="17"/>
        </w:rPr>
      </w:pPr>
      <w:r>
        <w:rPr>
          <w:spacing w:val="-6"/>
          <w:sz w:val="17"/>
        </w:rPr>
        <w:t>επιδόσεις. Το Wholesale Banking εξελίχθηκε από μοντέλο επικεντρωμένο στις χορηγήσεις σε μια </w:t>
      </w:r>
      <w:r>
        <w:rPr>
          <w:spacing w:val="-4"/>
          <w:sz w:val="17"/>
        </w:rPr>
        <w:t>ενιαία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πλατφόρμα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universal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business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banking,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γεγονός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που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μας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επιτρέπει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να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καλύπτουμε</w:t>
      </w:r>
    </w:p>
    <w:p>
      <w:pPr>
        <w:spacing w:line="225" w:lineRule="auto" w:before="0"/>
        <w:ind w:left="129" w:right="0" w:firstLine="0"/>
        <w:jc w:val="left"/>
        <w:rPr>
          <w:sz w:val="17"/>
        </w:rPr>
      </w:pPr>
      <w:r>
        <w:rPr>
          <w:spacing w:val="-6"/>
          <w:sz w:val="17"/>
        </w:rPr>
        <w:t>συνολικά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τις</w:t>
      </w:r>
      <w:r>
        <w:rPr>
          <w:spacing w:val="-14"/>
          <w:sz w:val="17"/>
        </w:rPr>
        <w:t> </w:t>
      </w:r>
      <w:r>
        <w:rPr>
          <w:spacing w:val="-6"/>
          <w:sz w:val="17"/>
        </w:rPr>
        <w:t>χρηματοδοτικές,</w:t>
      </w:r>
      <w:r>
        <w:rPr>
          <w:spacing w:val="-14"/>
          <w:sz w:val="17"/>
        </w:rPr>
        <w:t> </w:t>
      </w:r>
      <w:r>
        <w:rPr>
          <w:spacing w:val="-6"/>
          <w:sz w:val="17"/>
        </w:rPr>
        <w:t>συναλλακτικές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και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συμβουλευτικές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ανάγκες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των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πελατών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μας, </w:t>
      </w:r>
      <w:r>
        <w:rPr>
          <w:spacing w:val="-4"/>
          <w:sz w:val="17"/>
        </w:rPr>
        <w:t>αυξάνοντας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παράλληλα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τη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συνεισφορά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εσόδων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χαμηλής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κεφαλαιακής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έντασης.</w:t>
      </w:r>
    </w:p>
    <w:p>
      <w:pPr>
        <w:pStyle w:val="BodyText"/>
        <w:spacing w:before="15"/>
        <w:rPr>
          <w:sz w:val="17"/>
        </w:rPr>
      </w:pPr>
    </w:p>
    <w:p>
      <w:pPr>
        <w:spacing w:line="225" w:lineRule="auto" w:before="0"/>
        <w:ind w:left="129" w:right="0" w:firstLine="0"/>
        <w:jc w:val="left"/>
        <w:rPr>
          <w:sz w:val="17"/>
        </w:rPr>
      </w:pPr>
      <w:r>
        <w:rPr>
          <w:spacing w:val="-6"/>
          <w:sz w:val="17"/>
        </w:rPr>
        <w:t>Η πρόοδος είναι εμφανής σε τρεις βασικούς τομείς. Οι δραστηριότητες συναλλακτικής τραπεζικής συνεχίζουν να αναπτύσσονται δυναμικά, καταγράφοντας αυξημένα έσοδα κατά 38% τους</w:t>
      </w:r>
    </w:p>
    <w:p>
      <w:pPr>
        <w:spacing w:line="191" w:lineRule="exact" w:before="0"/>
        <w:ind w:left="126" w:right="0" w:firstLine="0"/>
        <w:jc w:val="left"/>
        <w:rPr>
          <w:sz w:val="17"/>
        </w:rPr>
      </w:pPr>
      <w:r>
        <w:rPr>
          <w:w w:val="90"/>
          <w:sz w:val="17"/>
        </w:rPr>
        <w:t>τελευταίους</w:t>
      </w:r>
      <w:r>
        <w:rPr>
          <w:spacing w:val="10"/>
          <w:sz w:val="17"/>
        </w:rPr>
        <w:t> </w:t>
      </w:r>
      <w:r>
        <w:rPr>
          <w:w w:val="90"/>
          <w:sz w:val="17"/>
        </w:rPr>
        <w:t>δεκαοκτώ</w:t>
      </w:r>
      <w:r>
        <w:rPr>
          <w:spacing w:val="10"/>
          <w:sz w:val="17"/>
        </w:rPr>
        <w:t> </w:t>
      </w:r>
      <w:r>
        <w:rPr>
          <w:w w:val="90"/>
          <w:sz w:val="17"/>
        </w:rPr>
        <w:t>μήνες.</w:t>
      </w:r>
      <w:r>
        <w:rPr>
          <w:spacing w:val="10"/>
          <w:sz w:val="17"/>
        </w:rPr>
        <w:t> </w:t>
      </w:r>
      <w:r>
        <w:rPr>
          <w:w w:val="90"/>
          <w:sz w:val="17"/>
        </w:rPr>
        <w:t>Η</w:t>
      </w:r>
      <w:r>
        <w:rPr>
          <w:spacing w:val="11"/>
          <w:sz w:val="17"/>
        </w:rPr>
        <w:t> </w:t>
      </w:r>
      <w:r>
        <w:rPr>
          <w:w w:val="90"/>
          <w:sz w:val="17"/>
        </w:rPr>
        <w:t>AXIA</w:t>
      </w:r>
      <w:r>
        <w:rPr>
          <w:spacing w:val="12"/>
          <w:sz w:val="17"/>
        </w:rPr>
        <w:t> </w:t>
      </w:r>
      <w:r>
        <w:rPr>
          <w:w w:val="90"/>
          <w:sz w:val="17"/>
        </w:rPr>
        <w:t>εδραιώνεται</w:t>
      </w:r>
      <w:r>
        <w:rPr>
          <w:spacing w:val="12"/>
          <w:sz w:val="17"/>
        </w:rPr>
        <w:t> </w:t>
      </w:r>
      <w:r>
        <w:rPr>
          <w:w w:val="90"/>
          <w:sz w:val="17"/>
        </w:rPr>
        <w:t>ως</w:t>
      </w:r>
      <w:r>
        <w:rPr>
          <w:spacing w:val="14"/>
          <w:sz w:val="17"/>
        </w:rPr>
        <w:t> </w:t>
      </w:r>
      <w:r>
        <w:rPr>
          <w:w w:val="90"/>
          <w:sz w:val="17"/>
        </w:rPr>
        <w:t>η</w:t>
      </w:r>
      <w:r>
        <w:rPr>
          <w:spacing w:val="12"/>
          <w:sz w:val="17"/>
        </w:rPr>
        <w:t> </w:t>
      </w:r>
      <w:r>
        <w:rPr>
          <w:w w:val="90"/>
          <w:sz w:val="17"/>
        </w:rPr>
        <w:t>κορυφαία</w:t>
      </w:r>
      <w:r>
        <w:rPr>
          <w:spacing w:val="12"/>
          <w:sz w:val="17"/>
        </w:rPr>
        <w:t> </w:t>
      </w:r>
      <w:r>
        <w:rPr>
          <w:w w:val="90"/>
          <w:sz w:val="17"/>
        </w:rPr>
        <w:t>πλατφόρμα</w:t>
      </w:r>
      <w:r>
        <w:rPr>
          <w:spacing w:val="14"/>
          <w:sz w:val="17"/>
        </w:rPr>
        <w:t> </w:t>
      </w:r>
      <w:r>
        <w:rPr>
          <w:spacing w:val="-2"/>
          <w:w w:val="90"/>
          <w:sz w:val="17"/>
        </w:rPr>
        <w:t>επενδυτικής</w:t>
      </w:r>
    </w:p>
    <w:p>
      <w:pPr>
        <w:spacing w:line="225" w:lineRule="auto" w:before="5"/>
        <w:ind w:left="126" w:right="0" w:firstLine="0"/>
        <w:jc w:val="left"/>
        <w:rPr>
          <w:sz w:val="17"/>
        </w:rPr>
      </w:pPr>
      <w:r>
        <w:rPr>
          <w:spacing w:val="-4"/>
          <w:sz w:val="17"/>
        </w:rPr>
        <w:t>τραπεζικής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στην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Ελλάδα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και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την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Κύπρο,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παρέχοντας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συμβουλευτικές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υπηρεσίες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σε</w:t>
      </w:r>
      <w:r>
        <w:rPr>
          <w:spacing w:val="-14"/>
          <w:sz w:val="17"/>
        </w:rPr>
        <w:t> </w:t>
      </w:r>
      <w:r>
        <w:rPr>
          <w:spacing w:val="-4"/>
          <w:sz w:val="17"/>
        </w:rPr>
        <w:t>συναλλαγές συνολικής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αξίας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άνω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των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€10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δισ.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κατά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το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πρώτο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εξάμηνο.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Παράλληλα,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η</w:t>
      </w:r>
      <w:r>
        <w:rPr>
          <w:spacing w:val="-14"/>
          <w:sz w:val="17"/>
        </w:rPr>
        <w:t> </w:t>
      </w:r>
      <w:r>
        <w:rPr>
          <w:spacing w:val="-4"/>
          <w:sz w:val="17"/>
        </w:rPr>
        <w:t>συνεργασία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μας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με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τη </w:t>
      </w:r>
      <w:r>
        <w:rPr>
          <w:spacing w:val="-6"/>
          <w:sz w:val="17"/>
        </w:rPr>
        <w:t>UniCredit περνά αποφασιστικά στη φάση υλοποίησης, δημιουργώντας νέες ευκαιρίες στους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τομείς </w:t>
      </w:r>
      <w:r>
        <w:rPr>
          <w:spacing w:val="-4"/>
          <w:sz w:val="17"/>
        </w:rPr>
        <w:t>της διαχείρισης διαθεσίμων, της χρηματοδότησης διεθνούς</w:t>
      </w:r>
      <w:r>
        <w:rPr>
          <w:spacing w:val="-5"/>
          <w:sz w:val="17"/>
        </w:rPr>
        <w:t> </w:t>
      </w:r>
      <w:r>
        <w:rPr>
          <w:spacing w:val="-4"/>
          <w:sz w:val="17"/>
        </w:rPr>
        <w:t>εμπορίου, των χορηγήσεων και των </w:t>
      </w:r>
      <w:r>
        <w:rPr>
          <w:spacing w:val="-2"/>
          <w:sz w:val="17"/>
        </w:rPr>
        <w:t>κεφαλαιαγορών.</w:t>
      </w:r>
    </w:p>
    <w:p>
      <w:pPr>
        <w:pStyle w:val="BodyText"/>
        <w:spacing w:before="15"/>
        <w:rPr>
          <w:sz w:val="17"/>
        </w:rPr>
      </w:pPr>
    </w:p>
    <w:p>
      <w:pPr>
        <w:spacing w:line="225" w:lineRule="auto" w:before="0"/>
        <w:ind w:left="126" w:right="0" w:firstLine="0"/>
        <w:jc w:val="left"/>
        <w:rPr>
          <w:sz w:val="17"/>
        </w:rPr>
      </w:pPr>
      <w:r>
        <w:rPr>
          <w:spacing w:val="-6"/>
          <w:sz w:val="17"/>
        </w:rPr>
        <w:t>Συνολικά,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οι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εξελίξεις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αυτές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διευρύνουν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τις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πηγές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εσόδων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μας,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ενισχύουν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τις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σχέσεις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μας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με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τους </w:t>
      </w:r>
      <w:r>
        <w:rPr>
          <w:spacing w:val="-4"/>
          <w:sz w:val="17"/>
        </w:rPr>
        <w:t>πελάτες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και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ισχυροποιούν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την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εμπιστοσύνη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στις</w:t>
      </w:r>
      <w:r>
        <w:rPr>
          <w:spacing w:val="-5"/>
          <w:sz w:val="17"/>
        </w:rPr>
        <w:t> </w:t>
      </w:r>
      <w:r>
        <w:rPr>
          <w:spacing w:val="-4"/>
          <w:sz w:val="17"/>
        </w:rPr>
        <w:t>μακροπρόθεσμες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αναπτυξιακές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προοπτικές</w:t>
      </w:r>
      <w:r>
        <w:rPr>
          <w:spacing w:val="-5"/>
          <w:sz w:val="17"/>
        </w:rPr>
        <w:t> </w:t>
      </w:r>
      <w:r>
        <w:rPr>
          <w:spacing w:val="-4"/>
          <w:sz w:val="17"/>
        </w:rPr>
        <w:t>της </w:t>
      </w:r>
      <w:r>
        <w:rPr>
          <w:sz w:val="17"/>
        </w:rPr>
        <w:t>Alpha</w:t>
      </w:r>
      <w:r>
        <w:rPr>
          <w:spacing w:val="-3"/>
          <w:sz w:val="17"/>
        </w:rPr>
        <w:t> </w:t>
      </w:r>
      <w:r>
        <w:rPr>
          <w:sz w:val="17"/>
        </w:rPr>
        <w:t>Bank.</w:t>
      </w:r>
    </w:p>
    <w:p>
      <w:pPr>
        <w:pStyle w:val="BodyText"/>
        <w:spacing w:before="17"/>
        <w:rPr>
          <w:sz w:val="17"/>
        </w:rPr>
      </w:pPr>
    </w:p>
    <w:p>
      <w:pPr>
        <w:spacing w:line="225" w:lineRule="auto" w:before="0"/>
        <w:ind w:left="126" w:right="106" w:firstLine="0"/>
        <w:jc w:val="left"/>
        <w:rPr>
          <w:sz w:val="17"/>
        </w:rPr>
      </w:pPr>
      <w:r>
        <w:rPr>
          <w:spacing w:val="-6"/>
          <w:sz w:val="17"/>
        </w:rPr>
        <w:t>Παραμένουμε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προσηλωμένοι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σε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τέσσερις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πυλώνες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που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ενισχύουν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τη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δυνατότητά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μας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για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διαρκή </w:t>
      </w:r>
      <w:r>
        <w:rPr>
          <w:spacing w:val="-4"/>
          <w:sz w:val="17"/>
        </w:rPr>
        <w:t>δημιουργία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αξίας: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την</w:t>
      </w:r>
      <w:r>
        <w:rPr>
          <w:spacing w:val="-15"/>
          <w:sz w:val="17"/>
        </w:rPr>
        <w:t> </w:t>
      </w:r>
      <w:r>
        <w:rPr>
          <w:spacing w:val="-4"/>
          <w:sz w:val="17"/>
        </w:rPr>
        <w:t>αύξηση</w:t>
      </w:r>
      <w:r>
        <w:rPr>
          <w:spacing w:val="-17"/>
          <w:sz w:val="17"/>
        </w:rPr>
        <w:t> </w:t>
      </w:r>
      <w:r>
        <w:rPr>
          <w:spacing w:val="-4"/>
          <w:sz w:val="17"/>
        </w:rPr>
        <w:t>του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μεριδίου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μας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στις</w:t>
      </w:r>
      <w:r>
        <w:rPr>
          <w:spacing w:val="-14"/>
          <w:sz w:val="17"/>
        </w:rPr>
        <w:t> </w:t>
      </w:r>
      <w:r>
        <w:rPr>
          <w:spacing w:val="-4"/>
          <w:sz w:val="17"/>
        </w:rPr>
        <w:t>χορηγήσεις,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τις</w:t>
      </w:r>
      <w:r>
        <w:rPr>
          <w:spacing w:val="-14"/>
          <w:sz w:val="17"/>
        </w:rPr>
        <w:t> </w:t>
      </w:r>
      <w:r>
        <w:rPr>
          <w:spacing w:val="-4"/>
          <w:sz w:val="17"/>
        </w:rPr>
        <w:t>συμβουλευτικές</w:t>
      </w:r>
      <w:r>
        <w:rPr>
          <w:spacing w:val="-14"/>
          <w:sz w:val="17"/>
        </w:rPr>
        <w:t> </w:t>
      </w:r>
      <w:r>
        <w:rPr>
          <w:spacing w:val="-4"/>
          <w:sz w:val="17"/>
        </w:rPr>
        <w:t>υπηρεσίες και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τη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συναλλακτική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τραπεζική·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τη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διεύρυνση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της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πρόσβασης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των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ιδιωτών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σε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υπηρεσίες</w:t>
      </w:r>
    </w:p>
    <w:p>
      <w:pPr>
        <w:spacing w:line="225" w:lineRule="auto" w:before="0"/>
        <w:ind w:left="126" w:right="0" w:firstLine="0"/>
        <w:jc w:val="left"/>
        <w:rPr>
          <w:sz w:val="17"/>
        </w:rPr>
      </w:pPr>
      <w:r>
        <w:rPr>
          <w:spacing w:val="-6"/>
          <w:sz w:val="17"/>
        </w:rPr>
        <w:t>χρηματοοικονομικού σχεδιασμού, με εξατομικευμένες λύσεις για τη διαχείριση περιουσίας και τον </w:t>
      </w:r>
      <w:r>
        <w:rPr>
          <w:spacing w:val="-4"/>
          <w:sz w:val="17"/>
        </w:rPr>
        <w:t>συνταξιοδοτικό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σχεδιασμό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για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ένα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ευρύτερο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μέρος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της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πελατειακής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μας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βάσης˙</w:t>
      </w:r>
      <w:r>
        <w:rPr>
          <w:spacing w:val="-13"/>
          <w:sz w:val="17"/>
        </w:rPr>
        <w:t> </w:t>
      </w:r>
      <w:r>
        <w:rPr>
          <w:spacing w:val="-4"/>
          <w:sz w:val="17"/>
        </w:rPr>
        <w:t>την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επιτάχυνση</w:t>
      </w:r>
    </w:p>
    <w:p>
      <w:pPr>
        <w:spacing w:line="223" w:lineRule="auto" w:before="0"/>
        <w:ind w:left="126" w:right="0" w:firstLine="0"/>
        <w:jc w:val="left"/>
        <w:rPr>
          <w:sz w:val="17"/>
        </w:rPr>
      </w:pPr>
      <w:r>
        <w:rPr>
          <w:spacing w:val="-6"/>
          <w:sz w:val="17"/>
        </w:rPr>
        <w:t>της συνεργασίας μας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με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τη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UniCredit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και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στους δύο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βασικούς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άξονες ανάπτυξής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μας·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και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τη </w:t>
      </w:r>
      <w:r>
        <w:rPr>
          <w:spacing w:val="-4"/>
          <w:sz w:val="17"/>
        </w:rPr>
        <w:t>διοχέτευση των επενδύσεών μας</w:t>
      </w:r>
      <w:r>
        <w:rPr>
          <w:spacing w:val="-5"/>
          <w:sz w:val="17"/>
        </w:rPr>
        <w:t> </w:t>
      </w:r>
      <w:r>
        <w:rPr>
          <w:spacing w:val="-4"/>
          <w:sz w:val="17"/>
        </w:rPr>
        <w:t>σε πρωτοβουλίες με μετρήσιμη εμπορική απόδοση.</w:t>
      </w:r>
    </w:p>
    <w:p>
      <w:pPr>
        <w:pStyle w:val="BodyText"/>
        <w:spacing w:before="18"/>
        <w:rPr>
          <w:sz w:val="17"/>
        </w:rPr>
      </w:pPr>
    </w:p>
    <w:p>
      <w:pPr>
        <w:spacing w:line="225" w:lineRule="auto" w:before="0"/>
        <w:ind w:left="126" w:right="0" w:firstLine="0"/>
        <w:jc w:val="left"/>
        <w:rPr>
          <w:sz w:val="17"/>
        </w:rPr>
      </w:pPr>
      <w:r>
        <w:rPr>
          <w:spacing w:val="-4"/>
          <w:sz w:val="17"/>
        </w:rPr>
        <w:t>Αποτελεί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επίσης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ιδιαίτερη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τιμή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για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εμάς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η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διάκριση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της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Alpha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Bank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στα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Euromoney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Awards</w:t>
      </w:r>
      <w:r>
        <w:rPr>
          <w:spacing w:val="-12"/>
          <w:sz w:val="17"/>
        </w:rPr>
        <w:t> </w:t>
      </w:r>
      <w:r>
        <w:rPr>
          <w:spacing w:val="-4"/>
          <w:sz w:val="17"/>
        </w:rPr>
        <w:t>for Excellence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2026,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ως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η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Καλύτερη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Τράπεζα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στην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Ελλάδα.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Η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αναγνώριση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αυτή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επιβεβαιώνει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τις</w:t>
      </w:r>
    </w:p>
    <w:p>
      <w:pPr>
        <w:spacing w:line="225" w:lineRule="auto" w:before="0"/>
        <w:ind w:left="126" w:right="0" w:firstLine="0"/>
        <w:jc w:val="left"/>
        <w:rPr>
          <w:sz w:val="17"/>
        </w:rPr>
      </w:pPr>
      <w:r>
        <w:rPr>
          <w:spacing w:val="-4"/>
          <w:sz w:val="17"/>
        </w:rPr>
        <w:t>στρατηγικές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μας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επιλογές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των</w:t>
      </w:r>
      <w:r>
        <w:rPr>
          <w:spacing w:val="-14"/>
          <w:sz w:val="17"/>
        </w:rPr>
        <w:t> </w:t>
      </w:r>
      <w:r>
        <w:rPr>
          <w:spacing w:val="-4"/>
          <w:sz w:val="17"/>
        </w:rPr>
        <w:t>τελευταίων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ετών,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συμπεριλαμβανομένης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της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ενίσχυσης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των </w:t>
      </w:r>
      <w:r>
        <w:rPr>
          <w:spacing w:val="-6"/>
          <w:sz w:val="17"/>
        </w:rPr>
        <w:t>δυνατοτήτων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μας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μέσω</w:t>
      </w:r>
      <w:r>
        <w:rPr>
          <w:spacing w:val="-14"/>
          <w:sz w:val="17"/>
        </w:rPr>
        <w:t> </w:t>
      </w:r>
      <w:r>
        <w:rPr>
          <w:spacing w:val="-6"/>
          <w:sz w:val="17"/>
        </w:rPr>
        <w:t>στοχευμένων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εξαγορών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και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της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ανάπτυξης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της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συνεργασίας</w:t>
      </w:r>
      <w:r>
        <w:rPr>
          <w:spacing w:val="-13"/>
          <w:sz w:val="17"/>
        </w:rPr>
        <w:t> </w:t>
      </w:r>
      <w:r>
        <w:rPr>
          <w:spacing w:val="-6"/>
          <w:sz w:val="17"/>
        </w:rPr>
        <w:t>μας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με</w:t>
      </w:r>
      <w:r>
        <w:rPr>
          <w:spacing w:val="-12"/>
          <w:sz w:val="17"/>
        </w:rPr>
        <w:t> </w:t>
      </w:r>
      <w:r>
        <w:rPr>
          <w:spacing w:val="-6"/>
          <w:sz w:val="17"/>
        </w:rPr>
        <w:t>τη </w:t>
      </w:r>
      <w:r>
        <w:rPr>
          <w:spacing w:val="-2"/>
          <w:sz w:val="17"/>
        </w:rPr>
        <w:t>UniCredit.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Μαζί</w:t>
      </w:r>
      <w:r>
        <w:rPr>
          <w:spacing w:val="-13"/>
          <w:sz w:val="17"/>
        </w:rPr>
        <w:t> </w:t>
      </w:r>
      <w:r>
        <w:rPr>
          <w:spacing w:val="-2"/>
          <w:sz w:val="17"/>
        </w:rPr>
        <w:t>με</w:t>
      </w:r>
      <w:r>
        <w:rPr>
          <w:spacing w:val="-13"/>
          <w:sz w:val="17"/>
        </w:rPr>
        <w:t> </w:t>
      </w:r>
      <w:r>
        <w:rPr>
          <w:spacing w:val="-2"/>
          <w:sz w:val="17"/>
        </w:rPr>
        <w:t>τις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διακρίσεις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που</w:t>
      </w:r>
      <w:r>
        <w:rPr>
          <w:spacing w:val="-14"/>
          <w:sz w:val="17"/>
        </w:rPr>
        <w:t> </w:t>
      </w:r>
      <w:r>
        <w:rPr>
          <w:spacing w:val="-2"/>
          <w:sz w:val="17"/>
        </w:rPr>
        <w:t>έλαβε</w:t>
      </w:r>
      <w:r>
        <w:rPr>
          <w:spacing w:val="-15"/>
          <w:sz w:val="17"/>
        </w:rPr>
        <w:t> </w:t>
      </w:r>
      <w:r>
        <w:rPr>
          <w:spacing w:val="-2"/>
          <w:sz w:val="17"/>
        </w:rPr>
        <w:t>η</w:t>
      </w:r>
      <w:r>
        <w:rPr>
          <w:spacing w:val="-13"/>
          <w:sz w:val="17"/>
        </w:rPr>
        <w:t> </w:t>
      </w:r>
      <w:r>
        <w:rPr>
          <w:spacing w:val="-2"/>
          <w:sz w:val="17"/>
        </w:rPr>
        <w:t>AXIA,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τα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βραβεία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αυτά</w:t>
      </w:r>
      <w:r>
        <w:rPr>
          <w:spacing w:val="-14"/>
          <w:sz w:val="17"/>
        </w:rPr>
        <w:t> </w:t>
      </w:r>
      <w:r>
        <w:rPr>
          <w:spacing w:val="-2"/>
          <w:sz w:val="17"/>
        </w:rPr>
        <w:t>αποτελούν</w:t>
      </w:r>
      <w:r>
        <w:rPr>
          <w:spacing w:val="-15"/>
          <w:sz w:val="17"/>
        </w:rPr>
        <w:t> </w:t>
      </w:r>
      <w:r>
        <w:rPr>
          <w:spacing w:val="-2"/>
          <w:sz w:val="17"/>
        </w:rPr>
        <w:t>μια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ακόμη</w:t>
      </w:r>
    </w:p>
    <w:p>
      <w:pPr>
        <w:spacing w:line="223" w:lineRule="auto" w:before="2"/>
        <w:ind w:left="126" w:right="0" w:firstLine="0"/>
        <w:jc w:val="left"/>
        <w:rPr>
          <w:sz w:val="17"/>
        </w:rPr>
      </w:pPr>
      <w:r>
        <w:rPr>
          <w:spacing w:val="-6"/>
          <w:sz w:val="17"/>
        </w:rPr>
        <w:t>επιβεβαίωση ότι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οι επενδύσεις μας ενισχύουν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τις δυνατότητες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και την επιχειρηματική μας θέση, </w:t>
      </w:r>
      <w:r>
        <w:rPr>
          <w:spacing w:val="-2"/>
          <w:sz w:val="17"/>
        </w:rPr>
        <w:t>προσδίδοντας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στην</w:t>
      </w:r>
      <w:r>
        <w:rPr>
          <w:spacing w:val="-13"/>
          <w:sz w:val="17"/>
        </w:rPr>
        <w:t> </w:t>
      </w:r>
      <w:r>
        <w:rPr>
          <w:spacing w:val="-2"/>
          <w:sz w:val="17"/>
        </w:rPr>
        <w:t>Alpha</w:t>
      </w:r>
      <w:r>
        <w:rPr>
          <w:spacing w:val="-11"/>
          <w:sz w:val="17"/>
        </w:rPr>
        <w:t> </w:t>
      </w:r>
      <w:r>
        <w:rPr>
          <w:spacing w:val="-2"/>
          <w:sz w:val="17"/>
        </w:rPr>
        <w:t>Bank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διακριτό</w:t>
      </w:r>
      <w:r>
        <w:rPr>
          <w:spacing w:val="-14"/>
          <w:sz w:val="17"/>
        </w:rPr>
        <w:t> </w:t>
      </w:r>
      <w:r>
        <w:rPr>
          <w:spacing w:val="-2"/>
          <w:sz w:val="17"/>
        </w:rPr>
        <w:t>πλεονέκτημα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στις</w:t>
      </w:r>
      <w:r>
        <w:rPr>
          <w:spacing w:val="-14"/>
          <w:sz w:val="17"/>
        </w:rPr>
        <w:t> </w:t>
      </w:r>
      <w:r>
        <w:rPr>
          <w:spacing w:val="-2"/>
          <w:sz w:val="17"/>
        </w:rPr>
        <w:t>αγορές</w:t>
      </w:r>
      <w:r>
        <w:rPr>
          <w:spacing w:val="-12"/>
          <w:sz w:val="17"/>
        </w:rPr>
        <w:t> </w:t>
      </w:r>
      <w:r>
        <w:rPr>
          <w:spacing w:val="-2"/>
          <w:sz w:val="17"/>
        </w:rPr>
        <w:t>όπου</w:t>
      </w:r>
      <w:r>
        <w:rPr>
          <w:spacing w:val="-13"/>
          <w:sz w:val="17"/>
        </w:rPr>
        <w:t> </w:t>
      </w:r>
      <w:r>
        <w:rPr>
          <w:spacing w:val="-2"/>
          <w:sz w:val="17"/>
        </w:rPr>
        <w:t>δραστηριοποιείται.</w:t>
      </w:r>
    </w:p>
    <w:p>
      <w:pPr>
        <w:pStyle w:val="BodyText"/>
        <w:spacing w:before="17"/>
        <w:rPr>
          <w:sz w:val="17"/>
        </w:rPr>
      </w:pPr>
    </w:p>
    <w:p>
      <w:pPr>
        <w:spacing w:line="225" w:lineRule="auto" w:before="0"/>
        <w:ind w:left="126" w:right="0" w:firstLine="0"/>
        <w:jc w:val="left"/>
        <w:rPr>
          <w:sz w:val="17"/>
        </w:rPr>
      </w:pPr>
      <w:r>
        <w:rPr>
          <w:spacing w:val="-4"/>
          <w:sz w:val="17"/>
        </w:rPr>
        <w:t>Η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Alpha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Bank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οικοδομεί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έναν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οργανισμό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που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έχει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τις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προϋποθέσεις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να</w:t>
      </w:r>
      <w:r>
        <w:rPr>
          <w:spacing w:val="-6"/>
          <w:sz w:val="17"/>
        </w:rPr>
        <w:t> </w:t>
      </w:r>
      <w:r>
        <w:rPr>
          <w:spacing w:val="-4"/>
          <w:sz w:val="17"/>
        </w:rPr>
        <w:t>δημιουργεί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αξία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σε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βάθος </w:t>
      </w:r>
      <w:r>
        <w:rPr>
          <w:spacing w:val="-6"/>
          <w:sz w:val="17"/>
        </w:rPr>
        <w:t>χρόνου.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Πλέον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αναμένουμε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αύξηση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των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κερδών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ανά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μετοχή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κατά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13%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το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2026,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χάρη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στην ισχυρότερη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εμπορική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μας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δυναμική,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την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ενίσχυση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των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δραστηριοτήτων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που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παράγουν</w:t>
      </w:r>
      <w:r>
        <w:rPr>
          <w:spacing w:val="-11"/>
          <w:sz w:val="17"/>
        </w:rPr>
        <w:t> </w:t>
      </w:r>
      <w:r>
        <w:rPr>
          <w:spacing w:val="-6"/>
          <w:sz w:val="17"/>
        </w:rPr>
        <w:t>έσοδα</w:t>
      </w:r>
      <w:r>
        <w:rPr>
          <w:spacing w:val="-7"/>
          <w:sz w:val="17"/>
        </w:rPr>
        <w:t> </w:t>
      </w:r>
      <w:r>
        <w:rPr>
          <w:spacing w:val="-6"/>
          <w:sz w:val="17"/>
        </w:rPr>
        <w:t>από </w:t>
      </w:r>
      <w:r>
        <w:rPr>
          <w:spacing w:val="-4"/>
          <w:sz w:val="17"/>
        </w:rPr>
        <w:t>προμήθειες,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αξιοποιώντας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παράλληλα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τα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οφέλη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των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επενδύσεων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που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υλοποιήθηκαν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τα</w:t>
      </w:r>
    </w:p>
    <w:p>
      <w:pPr>
        <w:spacing w:line="225" w:lineRule="auto" w:before="1"/>
        <w:ind w:left="126" w:right="0" w:firstLine="0"/>
        <w:jc w:val="left"/>
        <w:rPr>
          <w:sz w:val="17"/>
        </w:rPr>
      </w:pPr>
      <w:r>
        <w:rPr>
          <w:spacing w:val="-6"/>
          <w:sz w:val="17"/>
        </w:rPr>
        <w:t>προηγούμενα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χρόνια.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Στο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Investor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Day</w:t>
      </w:r>
      <w:r>
        <w:rPr>
          <w:spacing w:val="-8"/>
          <w:sz w:val="17"/>
        </w:rPr>
        <w:t> </w:t>
      </w:r>
      <w:r>
        <w:rPr>
          <w:spacing w:val="-6"/>
          <w:sz w:val="17"/>
        </w:rPr>
        <w:t>που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προγραμματίζουμε</w:t>
      </w:r>
      <w:r>
        <w:rPr>
          <w:spacing w:val="-10"/>
          <w:sz w:val="17"/>
        </w:rPr>
        <w:t> </w:t>
      </w:r>
      <w:r>
        <w:rPr>
          <w:spacing w:val="-6"/>
          <w:sz w:val="17"/>
        </w:rPr>
        <w:t>τον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Νοέμβριο,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θα</w:t>
      </w:r>
      <w:r>
        <w:rPr>
          <w:spacing w:val="-9"/>
          <w:sz w:val="17"/>
        </w:rPr>
        <w:t> </w:t>
      </w:r>
      <w:r>
        <w:rPr>
          <w:spacing w:val="-6"/>
          <w:sz w:val="17"/>
        </w:rPr>
        <w:t>παρουσιάσουμε </w:t>
      </w:r>
      <w:r>
        <w:rPr>
          <w:spacing w:val="-4"/>
          <w:sz w:val="17"/>
        </w:rPr>
        <w:t>αναλυτικά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το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μοντέλο</w:t>
      </w:r>
      <w:r>
        <w:rPr>
          <w:spacing w:val="-11"/>
          <w:sz w:val="17"/>
        </w:rPr>
        <w:t> </w:t>
      </w:r>
      <w:r>
        <w:rPr>
          <w:spacing w:val="-4"/>
          <w:sz w:val="17"/>
        </w:rPr>
        <w:t>αυτό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και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την</w:t>
      </w:r>
      <w:r>
        <w:rPr>
          <w:spacing w:val="-8"/>
          <w:sz w:val="17"/>
        </w:rPr>
        <w:t> </w:t>
      </w:r>
      <w:r>
        <w:rPr>
          <w:spacing w:val="-4"/>
          <w:sz w:val="17"/>
        </w:rPr>
        <w:t>αξία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που</w:t>
      </w:r>
      <w:r>
        <w:rPr>
          <w:spacing w:val="-10"/>
          <w:sz w:val="17"/>
        </w:rPr>
        <w:t> </w:t>
      </w:r>
      <w:r>
        <w:rPr>
          <w:spacing w:val="-4"/>
          <w:sz w:val="17"/>
        </w:rPr>
        <w:t>δημιουργείται</w:t>
      </w:r>
      <w:r>
        <w:rPr>
          <w:spacing w:val="-9"/>
          <w:sz w:val="17"/>
        </w:rPr>
        <w:t> </w:t>
      </w:r>
      <w:r>
        <w:rPr>
          <w:spacing w:val="-4"/>
          <w:sz w:val="17"/>
        </w:rPr>
        <w:t>για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τους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μετόχους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μας</w:t>
      </w:r>
      <w:r>
        <w:rPr>
          <w:spacing w:val="-7"/>
          <w:sz w:val="17"/>
        </w:rPr>
        <w:t> </w:t>
      </w:r>
      <w:r>
        <w:rPr>
          <w:spacing w:val="-4"/>
          <w:sz w:val="17"/>
        </w:rPr>
        <w:t>τα επόμενα </w:t>
      </w:r>
      <w:r>
        <w:rPr>
          <w:spacing w:val="-2"/>
          <w:sz w:val="17"/>
        </w:rPr>
        <w:t>χρόνια.</w:t>
      </w:r>
    </w:p>
    <w:p>
      <w:pPr>
        <w:pStyle w:val="BodyText"/>
        <w:spacing w:before="2"/>
        <w:rPr>
          <w:sz w:val="17"/>
        </w:rPr>
      </w:pPr>
    </w:p>
    <w:p>
      <w:pPr>
        <w:spacing w:before="0"/>
        <w:ind w:left="126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2"/>
          <w:sz w:val="20"/>
        </w:rPr>
        <w:t>Βασίλης</w:t>
      </w:r>
      <w:r>
        <w:rPr>
          <w:rFonts w:ascii="Tahoma" w:hAnsi="Tahoma"/>
          <w:b/>
          <w:spacing w:val="-3"/>
          <w:sz w:val="20"/>
        </w:rPr>
        <w:t> </w:t>
      </w:r>
      <w:r>
        <w:rPr>
          <w:rFonts w:ascii="Tahoma" w:hAnsi="Tahoma"/>
          <w:b/>
          <w:spacing w:val="-2"/>
          <w:sz w:val="20"/>
        </w:rPr>
        <w:t>Ψάλτης, </w:t>
      </w:r>
      <w:r>
        <w:rPr>
          <w:rFonts w:ascii="Tahoma" w:hAnsi="Tahoma"/>
          <w:b/>
          <w:spacing w:val="-5"/>
          <w:sz w:val="20"/>
        </w:rPr>
        <w:t>CEO</w:t>
      </w:r>
    </w:p>
    <w:p>
      <w:pPr>
        <w:spacing w:after="0"/>
        <w:jc w:val="left"/>
        <w:rPr>
          <w:rFonts w:ascii="Tahoma" w:hAnsi="Tahoma"/>
          <w:b/>
          <w:sz w:val="20"/>
        </w:rPr>
        <w:sectPr>
          <w:type w:val="continuous"/>
          <w:pgSz w:w="11920" w:h="16850"/>
          <w:pgMar w:header="639" w:footer="648" w:top="1940" w:bottom="280" w:left="283" w:right="425"/>
          <w:cols w:num="2" w:equalWidth="0">
            <w:col w:w="3010" w:space="156"/>
            <w:col w:w="8046"/>
          </w:cols>
        </w:sectPr>
      </w:pPr>
    </w:p>
    <w:p>
      <w:pPr>
        <w:pStyle w:val="BodyText"/>
        <w:spacing w:before="136"/>
        <w:rPr>
          <w:rFonts w:ascii="Tahoma"/>
          <w:b/>
          <w:sz w:val="28"/>
        </w:rPr>
      </w:pPr>
    </w:p>
    <w:p>
      <w:pPr>
        <w:pStyle w:val="Heading1"/>
        <w:ind w:left="317"/>
      </w:pPr>
      <w:r>
        <w:rPr>
          <w:color w:val="5B92C9"/>
          <w:spacing w:val="-4"/>
        </w:rPr>
        <w:t>Κύρια</w:t>
      </w:r>
      <w:r>
        <w:rPr>
          <w:color w:val="5B92C9"/>
          <w:spacing w:val="-3"/>
        </w:rPr>
        <w:t> </w:t>
      </w:r>
      <w:r>
        <w:rPr>
          <w:color w:val="5B92C9"/>
          <w:spacing w:val="-4"/>
        </w:rPr>
        <w:t>Χρηματοοικονομικά</w:t>
      </w:r>
      <w:r>
        <w:rPr>
          <w:color w:val="5B92C9"/>
        </w:rPr>
        <w:t> </w:t>
      </w:r>
      <w:r>
        <w:rPr>
          <w:color w:val="5B92C9"/>
          <w:spacing w:val="-4"/>
        </w:rPr>
        <w:t>Στοιχεία</w:t>
      </w:r>
    </w:p>
    <w:p>
      <w:pPr>
        <w:pStyle w:val="BodyText"/>
        <w:spacing w:before="8"/>
        <w:rPr>
          <w:rFonts w:ascii="Tahoma"/>
          <w:b/>
        </w:rPr>
      </w:pPr>
    </w:p>
    <w:tbl>
      <w:tblPr>
        <w:tblW w:w="0" w:type="auto"/>
        <w:jc w:val="left"/>
        <w:tblInd w:w="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9"/>
        <w:gridCol w:w="1130"/>
        <w:gridCol w:w="1238"/>
        <w:gridCol w:w="1233"/>
        <w:gridCol w:w="1117"/>
        <w:gridCol w:w="1333"/>
        <w:gridCol w:w="961"/>
      </w:tblGrid>
      <w:tr>
        <w:trPr>
          <w:trHeight w:val="539" w:hRule="atLeast"/>
        </w:trPr>
        <w:tc>
          <w:tcPr>
            <w:tcW w:w="3809" w:type="dxa"/>
          </w:tcPr>
          <w:p>
            <w:pPr>
              <w:pStyle w:val="TableParagraph"/>
              <w:spacing w:line="200" w:lineRule="atLeast" w:before="120"/>
              <w:ind w:left="50" w:right="81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72E"/>
                <w:w w:val="95"/>
                <w:sz w:val="16"/>
              </w:rPr>
              <w:t>Κατάσταση</w:t>
            </w:r>
            <w:r>
              <w:rPr>
                <w:rFonts w:ascii="Tahoma" w:hAnsi="Tahoma"/>
                <w:b/>
                <w:color w:val="E2872E"/>
                <w:spacing w:val="-3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color w:val="E2872E"/>
                <w:w w:val="95"/>
                <w:sz w:val="16"/>
              </w:rPr>
              <w:t>Αποτελεσμάτων</w:t>
            </w:r>
            <w:r>
              <w:rPr>
                <w:rFonts w:ascii="Tahoma" w:hAnsi="Tahoma"/>
                <w:b/>
                <w:color w:val="E2872E"/>
                <w:spacing w:val="-3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color w:val="E2872E"/>
                <w:w w:val="85"/>
                <w:sz w:val="16"/>
              </w:rPr>
              <w:t>| </w:t>
            </w:r>
            <w:r>
              <w:rPr>
                <w:rFonts w:ascii="Tahoma" w:hAnsi="Tahoma"/>
                <w:b/>
                <w:color w:val="E2872E"/>
                <w:w w:val="95"/>
                <w:sz w:val="16"/>
              </w:rPr>
              <w:t>Όμιλος (€ εκατ.)</w:t>
            </w:r>
          </w:p>
        </w:tc>
        <w:tc>
          <w:tcPr>
            <w:tcW w:w="1130" w:type="dxa"/>
          </w:tcPr>
          <w:p>
            <w:pPr>
              <w:pStyle w:val="TableParagraph"/>
              <w:spacing w:before="130"/>
              <w:ind w:right="101"/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3872E"/>
                <w:sz w:val="16"/>
              </w:rPr>
              <w:t>Α’</w:t>
            </w:r>
            <w:r>
              <w:rPr>
                <w:rFonts w:ascii="Tahoma" w:hAnsi="Tahoma"/>
                <w:b/>
                <w:color w:val="E3872E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3872E"/>
                <w:spacing w:val="-2"/>
                <w:sz w:val="16"/>
              </w:rPr>
              <w:t>Εξάμηνο</w:t>
            </w:r>
          </w:p>
          <w:p>
            <w:pPr>
              <w:pStyle w:val="TableParagraph"/>
              <w:spacing w:line="190" w:lineRule="exact" w:before="6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3872E"/>
                <w:spacing w:val="-4"/>
                <w:w w:val="95"/>
                <w:sz w:val="16"/>
              </w:rPr>
              <w:t>2025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before="130"/>
              <w:ind w:right="100"/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3872E"/>
                <w:sz w:val="16"/>
              </w:rPr>
              <w:t>Α’</w:t>
            </w:r>
            <w:r>
              <w:rPr>
                <w:rFonts w:ascii="Tahoma" w:hAnsi="Tahoma"/>
                <w:b/>
                <w:color w:val="E3872E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3872E"/>
                <w:spacing w:val="-2"/>
                <w:sz w:val="16"/>
              </w:rPr>
              <w:t>Εξάμηνο</w:t>
            </w:r>
          </w:p>
          <w:p>
            <w:pPr>
              <w:pStyle w:val="TableParagraph"/>
              <w:spacing w:line="190" w:lineRule="exact" w:before="6"/>
              <w:ind w:right="101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3872E"/>
                <w:spacing w:val="-4"/>
                <w:w w:val="95"/>
                <w:sz w:val="16"/>
              </w:rPr>
              <w:t>2026</w:t>
            </w:r>
          </w:p>
        </w:tc>
        <w:tc>
          <w:tcPr>
            <w:tcW w:w="1233" w:type="dxa"/>
          </w:tcPr>
          <w:p>
            <w:pPr>
              <w:pStyle w:val="TableParagraph"/>
              <w:spacing w:before="136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90" w:lineRule="exact"/>
              <w:ind w:right="175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w w:val="95"/>
                <w:sz w:val="16"/>
              </w:rPr>
              <w:t>YoY</w:t>
            </w:r>
            <w:r>
              <w:rPr>
                <w:rFonts w:ascii="Tahoma"/>
                <w:b/>
                <w:color w:val="E2872E"/>
                <w:spacing w:val="9"/>
                <w:sz w:val="16"/>
              </w:rPr>
              <w:t> </w:t>
            </w:r>
            <w:r>
              <w:rPr>
                <w:rFonts w:ascii="Tahoma"/>
                <w:b/>
                <w:color w:val="E2872E"/>
                <w:spacing w:val="-5"/>
                <w:w w:val="95"/>
                <w:sz w:val="16"/>
              </w:rPr>
              <w:t>(%)</w:t>
            </w:r>
          </w:p>
        </w:tc>
        <w:tc>
          <w:tcPr>
            <w:tcW w:w="1117" w:type="dxa"/>
          </w:tcPr>
          <w:p>
            <w:pPr>
              <w:pStyle w:val="TableParagraph"/>
              <w:spacing w:before="130"/>
              <w:ind w:right="95"/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3872E"/>
                <w:sz w:val="16"/>
              </w:rPr>
              <w:t>Α’</w:t>
            </w:r>
            <w:r>
              <w:rPr>
                <w:rFonts w:ascii="Tahoma" w:hAnsi="Tahoma"/>
                <w:b/>
                <w:color w:val="E3872E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3872E"/>
                <w:spacing w:val="-2"/>
                <w:sz w:val="16"/>
              </w:rPr>
              <w:t>τρίμηνο</w:t>
            </w:r>
          </w:p>
          <w:p>
            <w:pPr>
              <w:pStyle w:val="TableParagraph"/>
              <w:spacing w:line="190" w:lineRule="exact" w:before="6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3872E"/>
                <w:spacing w:val="-4"/>
                <w:w w:val="95"/>
                <w:sz w:val="16"/>
              </w:rPr>
              <w:t>2025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before="130"/>
              <w:ind w:right="96"/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3872E"/>
                <w:sz w:val="16"/>
              </w:rPr>
              <w:t>Β’</w:t>
            </w:r>
            <w:r>
              <w:rPr>
                <w:rFonts w:ascii="Tahoma" w:hAnsi="Tahoma"/>
                <w:b/>
                <w:color w:val="E3872E"/>
                <w:spacing w:val="-6"/>
                <w:sz w:val="16"/>
              </w:rPr>
              <w:t> </w:t>
            </w:r>
            <w:r>
              <w:rPr>
                <w:rFonts w:ascii="Tahoma" w:hAnsi="Tahoma"/>
                <w:b/>
                <w:color w:val="E3872E"/>
                <w:spacing w:val="-2"/>
                <w:sz w:val="16"/>
              </w:rPr>
              <w:t>τρίμηνο</w:t>
            </w:r>
          </w:p>
          <w:p>
            <w:pPr>
              <w:pStyle w:val="TableParagraph"/>
              <w:spacing w:line="190" w:lineRule="exact" w:before="6"/>
              <w:ind w:right="9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3872E"/>
                <w:spacing w:val="-4"/>
                <w:w w:val="95"/>
                <w:sz w:val="16"/>
              </w:rPr>
              <w:t>2026</w:t>
            </w:r>
          </w:p>
        </w:tc>
        <w:tc>
          <w:tcPr>
            <w:tcW w:w="961" w:type="dxa"/>
          </w:tcPr>
          <w:p>
            <w:pPr>
              <w:pStyle w:val="TableParagraph"/>
              <w:spacing w:before="136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90" w:lineRule="exact"/>
              <w:ind w:left="21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sz w:val="16"/>
              </w:rPr>
              <w:t>QoQ</w:t>
            </w:r>
            <w:r>
              <w:rPr>
                <w:rFonts w:ascii="Tahoma"/>
                <w:b/>
                <w:color w:val="E2872E"/>
                <w:spacing w:val="-3"/>
                <w:sz w:val="16"/>
              </w:rPr>
              <w:t> </w:t>
            </w:r>
            <w:r>
              <w:rPr>
                <w:rFonts w:ascii="Tahoma"/>
                <w:b/>
                <w:color w:val="E2872E"/>
                <w:spacing w:val="-5"/>
                <w:sz w:val="16"/>
              </w:rPr>
              <w:t>(%)</w:t>
            </w:r>
          </w:p>
        </w:tc>
      </w:tr>
      <w:tr>
        <w:trPr>
          <w:trHeight w:val="225" w:hRule="atLeast"/>
        </w:trPr>
        <w:tc>
          <w:tcPr>
            <w:tcW w:w="3809" w:type="dxa"/>
          </w:tcPr>
          <w:p>
            <w:pPr>
              <w:pStyle w:val="TableParagraph"/>
              <w:spacing w:line="186" w:lineRule="exact" w:before="19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Καθαρό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4"/>
                <w:sz w:val="16"/>
              </w:rPr>
              <w:t>Εσοδο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από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4"/>
                <w:sz w:val="16"/>
              </w:rPr>
              <w:t>Τόκους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9" w:lineRule="exact" w:before="17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794,7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9" w:lineRule="exact" w:before="17"/>
              <w:ind w:right="101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852,7</w:t>
            </w:r>
          </w:p>
        </w:tc>
        <w:tc>
          <w:tcPr>
            <w:tcW w:w="1233" w:type="dxa"/>
          </w:tcPr>
          <w:p>
            <w:pPr>
              <w:pStyle w:val="TableParagraph"/>
              <w:spacing w:line="199" w:lineRule="exact" w:before="6"/>
              <w:ind w:right="17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7,3%</w:t>
            </w:r>
          </w:p>
        </w:tc>
        <w:tc>
          <w:tcPr>
            <w:tcW w:w="1117" w:type="dxa"/>
          </w:tcPr>
          <w:p>
            <w:pPr>
              <w:pStyle w:val="TableParagraph"/>
              <w:spacing w:line="189" w:lineRule="exact" w:before="17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416,3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9" w:lineRule="exact" w:before="17"/>
              <w:ind w:right="97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436,4</w:t>
            </w:r>
          </w:p>
        </w:tc>
        <w:tc>
          <w:tcPr>
            <w:tcW w:w="961" w:type="dxa"/>
          </w:tcPr>
          <w:p>
            <w:pPr>
              <w:pStyle w:val="TableParagraph"/>
              <w:spacing w:line="199" w:lineRule="exact" w:before="6"/>
              <w:ind w:right="9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4,8%</w:t>
            </w:r>
          </w:p>
        </w:tc>
      </w:tr>
      <w:tr>
        <w:trPr>
          <w:trHeight w:val="219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2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Έσοδα</w:t>
            </w:r>
            <w:r>
              <w:rPr>
                <w:spacing w:val="-14"/>
                <w:sz w:val="16"/>
              </w:rPr>
              <w:t> </w:t>
            </w:r>
            <w:r>
              <w:rPr>
                <w:spacing w:val="-4"/>
                <w:sz w:val="16"/>
              </w:rPr>
              <w:t>από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4"/>
                <w:sz w:val="16"/>
              </w:rPr>
              <w:t>αμοιβές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4"/>
                <w:sz w:val="16"/>
              </w:rPr>
              <w:t>υπηρεσιών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2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243,7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2"/>
              <w:ind w:right="101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326,5</w:t>
            </w:r>
          </w:p>
        </w:tc>
        <w:tc>
          <w:tcPr>
            <w:tcW w:w="1233" w:type="dxa"/>
          </w:tcPr>
          <w:p>
            <w:pPr>
              <w:pStyle w:val="TableParagraph"/>
              <w:spacing w:line="198" w:lineRule="exact" w:before="2"/>
              <w:ind w:right="17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34,0%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2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139,7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2"/>
              <w:ind w:right="97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186,7</w:t>
            </w:r>
          </w:p>
        </w:tc>
        <w:tc>
          <w:tcPr>
            <w:tcW w:w="961" w:type="dxa"/>
          </w:tcPr>
          <w:p>
            <w:pPr>
              <w:pStyle w:val="TableParagraph"/>
              <w:spacing w:line="198" w:lineRule="exact" w:before="2"/>
              <w:ind w:right="9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33,6%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1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2"/>
                <w:sz w:val="16"/>
              </w:rPr>
              <w:t>Κύρια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sz w:val="16"/>
              </w:rPr>
              <w:t>έσοδα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sz w:val="16"/>
              </w:rPr>
              <w:t>από Τραπεζικές</w:t>
            </w:r>
            <w:r>
              <w:rPr>
                <w:rFonts w:ascii="Tahoma" w:hAnsi="Tahoma"/>
                <w:b/>
                <w:spacing w:val="-4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sz w:val="16"/>
              </w:rPr>
              <w:t>εργασίες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6" w:lineRule="exact" w:before="12"/>
              <w:ind w:right="102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1.038,3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6" w:lineRule="exact" w:before="12"/>
              <w:ind w:right="101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1.179,2</w:t>
            </w:r>
          </w:p>
        </w:tc>
        <w:tc>
          <w:tcPr>
            <w:tcW w:w="1233" w:type="dxa"/>
          </w:tcPr>
          <w:p>
            <w:pPr>
              <w:pStyle w:val="TableParagraph"/>
              <w:spacing w:line="186" w:lineRule="exact" w:before="12"/>
              <w:ind w:right="17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13,6%</w:t>
            </w:r>
          </w:p>
        </w:tc>
        <w:tc>
          <w:tcPr>
            <w:tcW w:w="1117" w:type="dxa"/>
          </w:tcPr>
          <w:p>
            <w:pPr>
              <w:pStyle w:val="TableParagraph"/>
              <w:spacing w:line="186" w:lineRule="exact" w:before="12"/>
              <w:ind w:right="96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556,0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6" w:lineRule="exact" w:before="12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623,2</w:t>
            </w:r>
          </w:p>
        </w:tc>
        <w:tc>
          <w:tcPr>
            <w:tcW w:w="961" w:type="dxa"/>
          </w:tcPr>
          <w:p>
            <w:pPr>
              <w:pStyle w:val="TableParagraph"/>
              <w:spacing w:line="186" w:lineRule="exact" w:before="12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12,1%</w:t>
            </w:r>
          </w:p>
        </w:tc>
      </w:tr>
      <w:tr>
        <w:trPr>
          <w:trHeight w:val="219" w:hRule="atLeast"/>
        </w:trPr>
        <w:tc>
          <w:tcPr>
            <w:tcW w:w="3809" w:type="dxa"/>
          </w:tcPr>
          <w:p>
            <w:pPr>
              <w:pStyle w:val="TableParagraph"/>
              <w:spacing w:line="186" w:lineRule="exact" w:before="13"/>
              <w:ind w:left="100"/>
              <w:rPr>
                <w:sz w:val="16"/>
              </w:rPr>
            </w:pPr>
            <w:r>
              <w:rPr>
                <w:w w:val="90"/>
                <w:sz w:val="16"/>
              </w:rPr>
              <w:t>Αποτελέσματα</w:t>
            </w:r>
            <w:r>
              <w:rPr>
                <w:spacing w:val="27"/>
                <w:sz w:val="16"/>
              </w:rPr>
              <w:t> </w:t>
            </w:r>
            <w:r>
              <w:rPr>
                <w:w w:val="90"/>
                <w:sz w:val="16"/>
              </w:rPr>
              <w:t>Χρημ/κών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w w:val="90"/>
                <w:sz w:val="16"/>
              </w:rPr>
              <w:t>Πράξεων</w:t>
            </w:r>
          </w:p>
        </w:tc>
        <w:tc>
          <w:tcPr>
            <w:tcW w:w="1130" w:type="dxa"/>
          </w:tcPr>
          <w:p>
            <w:pPr>
              <w:pStyle w:val="TableParagraph"/>
              <w:spacing w:line="189" w:lineRule="exact" w:before="11"/>
              <w:ind w:right="102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54,3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9" w:lineRule="exact" w:before="11"/>
              <w:ind w:right="101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11,4</w:t>
            </w:r>
          </w:p>
        </w:tc>
        <w:tc>
          <w:tcPr>
            <w:tcW w:w="1233" w:type="dxa"/>
          </w:tcPr>
          <w:p>
            <w:pPr>
              <w:pStyle w:val="TableParagraph"/>
              <w:spacing w:line="187" w:lineRule="exact" w:before="12"/>
              <w:ind w:right="175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(79,0%)</w:t>
            </w:r>
          </w:p>
        </w:tc>
        <w:tc>
          <w:tcPr>
            <w:tcW w:w="1117" w:type="dxa"/>
          </w:tcPr>
          <w:p>
            <w:pPr>
              <w:pStyle w:val="TableParagraph"/>
              <w:spacing w:line="189" w:lineRule="exact" w:before="11"/>
              <w:ind w:right="96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26,3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9" w:lineRule="exact" w:before="11"/>
              <w:ind w:right="97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(14,9)</w:t>
            </w:r>
          </w:p>
        </w:tc>
        <w:tc>
          <w:tcPr>
            <w:tcW w:w="961" w:type="dxa"/>
          </w:tcPr>
          <w:p>
            <w:pPr>
              <w:pStyle w:val="TableParagraph"/>
              <w:spacing w:line="199" w:lineRule="exact" w:before="1"/>
              <w:ind w:right="98"/>
              <w:jc w:val="right"/>
              <w:rPr>
                <w:i/>
                <w:sz w:val="17"/>
              </w:rPr>
            </w:pPr>
            <w:r>
              <w:rPr>
                <w:i/>
                <w:spacing w:val="-10"/>
                <w:w w:val="115"/>
                <w:sz w:val="17"/>
              </w:rPr>
              <w:t>…</w:t>
            </w:r>
          </w:p>
        </w:tc>
      </w:tr>
      <w:tr>
        <w:trPr>
          <w:trHeight w:val="219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2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Λοιπά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Έσοδα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2"/>
              <w:ind w:right="102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15,8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2"/>
              <w:ind w:right="101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23,5</w:t>
            </w:r>
          </w:p>
        </w:tc>
        <w:tc>
          <w:tcPr>
            <w:tcW w:w="1233" w:type="dxa"/>
          </w:tcPr>
          <w:p>
            <w:pPr>
              <w:pStyle w:val="TableParagraph"/>
              <w:spacing w:line="198" w:lineRule="exact" w:before="2"/>
              <w:ind w:right="17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48,4%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2"/>
              <w:ind w:right="96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4,8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2"/>
              <w:ind w:right="97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18,8</w:t>
            </w:r>
          </w:p>
        </w:tc>
        <w:tc>
          <w:tcPr>
            <w:tcW w:w="961" w:type="dxa"/>
          </w:tcPr>
          <w:p>
            <w:pPr>
              <w:pStyle w:val="TableParagraph"/>
              <w:spacing w:line="198" w:lineRule="exact" w:before="2"/>
              <w:ind w:right="98"/>
              <w:jc w:val="right"/>
              <w:rPr>
                <w:i/>
                <w:sz w:val="17"/>
              </w:rPr>
            </w:pPr>
            <w:r>
              <w:rPr>
                <w:i/>
                <w:spacing w:val="-10"/>
                <w:w w:val="115"/>
                <w:sz w:val="17"/>
              </w:rPr>
              <w:t>…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1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2"/>
                <w:sz w:val="16"/>
              </w:rPr>
              <w:t>Λειτουργικά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Έσοδα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1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sz w:val="16"/>
              </w:rPr>
              <w:t>1.108,5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101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sz w:val="16"/>
              </w:rPr>
              <w:t>1.214,1</w:t>
            </w:r>
          </w:p>
        </w:tc>
        <w:tc>
          <w:tcPr>
            <w:tcW w:w="1233" w:type="dxa"/>
          </w:tcPr>
          <w:p>
            <w:pPr>
              <w:pStyle w:val="TableParagraph"/>
              <w:spacing w:line="186" w:lineRule="exact" w:before="12"/>
              <w:ind w:right="17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4"/>
                <w:sz w:val="17"/>
              </w:rPr>
              <w:t>9,5%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1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587,0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9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627,1</w:t>
            </w:r>
          </w:p>
        </w:tc>
        <w:tc>
          <w:tcPr>
            <w:tcW w:w="961" w:type="dxa"/>
          </w:tcPr>
          <w:p>
            <w:pPr>
              <w:pStyle w:val="TableParagraph"/>
              <w:spacing w:line="186" w:lineRule="exact" w:before="12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4"/>
                <w:sz w:val="17"/>
              </w:rPr>
              <w:t>6,8%</w:t>
            </w:r>
          </w:p>
        </w:tc>
      </w:tr>
      <w:tr>
        <w:trPr>
          <w:trHeight w:val="220" w:hRule="atLeast"/>
        </w:trPr>
        <w:tc>
          <w:tcPr>
            <w:tcW w:w="3809" w:type="dxa"/>
          </w:tcPr>
          <w:p>
            <w:pPr>
              <w:pStyle w:val="TableParagraph"/>
              <w:spacing w:line="198" w:lineRule="exact" w:before="3"/>
              <w:ind w:left="100"/>
              <w:rPr>
                <w:b/>
                <w:i/>
                <w:sz w:val="17"/>
              </w:rPr>
            </w:pPr>
            <w:r>
              <w:rPr>
                <w:b/>
                <w:i/>
                <w:w w:val="80"/>
                <w:sz w:val="17"/>
              </w:rPr>
              <w:t>Κύρια</w:t>
            </w:r>
            <w:r>
              <w:rPr>
                <w:b/>
                <w:i/>
                <w:spacing w:val="5"/>
                <w:sz w:val="17"/>
              </w:rPr>
              <w:t> </w:t>
            </w:r>
            <w:r>
              <w:rPr>
                <w:b/>
                <w:i/>
                <w:w w:val="80"/>
                <w:sz w:val="17"/>
              </w:rPr>
              <w:t>Λειτουργικά</w:t>
            </w:r>
            <w:r>
              <w:rPr>
                <w:b/>
                <w:i/>
                <w:spacing w:val="7"/>
                <w:sz w:val="17"/>
              </w:rPr>
              <w:t> </w:t>
            </w:r>
            <w:r>
              <w:rPr>
                <w:b/>
                <w:i/>
                <w:spacing w:val="-4"/>
                <w:w w:val="80"/>
                <w:sz w:val="17"/>
              </w:rPr>
              <w:t>Έσοδα</w:t>
            </w:r>
          </w:p>
        </w:tc>
        <w:tc>
          <w:tcPr>
            <w:tcW w:w="1130" w:type="dxa"/>
          </w:tcPr>
          <w:p>
            <w:pPr>
              <w:pStyle w:val="TableParagraph"/>
              <w:spacing w:line="188" w:lineRule="exact" w:before="12"/>
              <w:ind w:right="102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1.054,2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8" w:lineRule="exact" w:before="12"/>
              <w:ind w:right="101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1.202,7</w:t>
            </w:r>
          </w:p>
        </w:tc>
        <w:tc>
          <w:tcPr>
            <w:tcW w:w="1233" w:type="dxa"/>
          </w:tcPr>
          <w:p>
            <w:pPr>
              <w:pStyle w:val="TableParagraph"/>
              <w:spacing w:line="188" w:lineRule="exact" w:before="12"/>
              <w:ind w:right="17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14,1%</w:t>
            </w:r>
          </w:p>
        </w:tc>
        <w:tc>
          <w:tcPr>
            <w:tcW w:w="1117" w:type="dxa"/>
          </w:tcPr>
          <w:p>
            <w:pPr>
              <w:pStyle w:val="TableParagraph"/>
              <w:spacing w:line="188" w:lineRule="exact" w:before="12"/>
              <w:ind w:right="96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560,8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8" w:lineRule="exact" w:before="12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641,9</w:t>
            </w:r>
          </w:p>
        </w:tc>
        <w:tc>
          <w:tcPr>
            <w:tcW w:w="961" w:type="dxa"/>
          </w:tcPr>
          <w:p>
            <w:pPr>
              <w:pStyle w:val="TableParagraph"/>
              <w:spacing w:line="188" w:lineRule="exact" w:before="12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14,5%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1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Αμοιβές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και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Έξοδα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Προσωπικού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1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(185,2)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101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(225,0)</w:t>
            </w:r>
          </w:p>
        </w:tc>
        <w:tc>
          <w:tcPr>
            <w:tcW w:w="1233" w:type="dxa"/>
          </w:tcPr>
          <w:p>
            <w:pPr>
              <w:pStyle w:val="TableParagraph"/>
              <w:spacing w:line="198" w:lineRule="exact" w:before="1"/>
              <w:ind w:right="17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21,4%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1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(107,9)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97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(117,1)</w:t>
            </w:r>
          </w:p>
        </w:tc>
        <w:tc>
          <w:tcPr>
            <w:tcW w:w="961" w:type="dxa"/>
          </w:tcPr>
          <w:p>
            <w:pPr>
              <w:pStyle w:val="TableParagraph"/>
              <w:spacing w:line="198" w:lineRule="exact" w:before="1"/>
              <w:ind w:right="9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8,5%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1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Γενικά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4"/>
                <w:sz w:val="16"/>
              </w:rPr>
              <w:t>Διοικητικά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4"/>
                <w:sz w:val="16"/>
              </w:rPr>
              <w:t>Έξοδα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1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(160,5)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101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(170,3)</w:t>
            </w:r>
          </w:p>
        </w:tc>
        <w:tc>
          <w:tcPr>
            <w:tcW w:w="1233" w:type="dxa"/>
          </w:tcPr>
          <w:p>
            <w:pPr>
              <w:pStyle w:val="TableParagraph"/>
              <w:spacing w:line="198" w:lineRule="exact" w:before="1"/>
              <w:ind w:right="17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6,1%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1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(85,5)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97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(84,8)</w:t>
            </w:r>
          </w:p>
        </w:tc>
        <w:tc>
          <w:tcPr>
            <w:tcW w:w="961" w:type="dxa"/>
          </w:tcPr>
          <w:p>
            <w:pPr>
              <w:pStyle w:val="TableParagraph"/>
              <w:spacing w:line="198" w:lineRule="exact" w:before="1"/>
              <w:ind w:right="95"/>
              <w:jc w:val="right"/>
              <w:rPr>
                <w:i/>
                <w:sz w:val="17"/>
              </w:rPr>
            </w:pPr>
            <w:r>
              <w:rPr>
                <w:i/>
                <w:spacing w:val="-2"/>
                <w:w w:val="85"/>
                <w:sz w:val="17"/>
              </w:rPr>
              <w:t>(0,8%)</w:t>
            </w:r>
          </w:p>
        </w:tc>
      </w:tr>
      <w:tr>
        <w:trPr>
          <w:trHeight w:val="214" w:hRule="atLeast"/>
        </w:trPr>
        <w:tc>
          <w:tcPr>
            <w:tcW w:w="3809" w:type="dxa"/>
          </w:tcPr>
          <w:p>
            <w:pPr>
              <w:pStyle w:val="TableParagraph"/>
              <w:spacing w:line="181" w:lineRule="exact" w:before="1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Αποσβέσεις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3" w:lineRule="exact" w:before="11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(66,0)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3" w:lineRule="exact" w:before="11"/>
              <w:ind w:right="101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(72,6)</w:t>
            </w:r>
          </w:p>
        </w:tc>
        <w:tc>
          <w:tcPr>
            <w:tcW w:w="1233" w:type="dxa"/>
          </w:tcPr>
          <w:p>
            <w:pPr>
              <w:pStyle w:val="TableParagraph"/>
              <w:spacing w:line="194" w:lineRule="exact" w:before="1"/>
              <w:ind w:right="17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9,9%</w:t>
            </w:r>
          </w:p>
        </w:tc>
        <w:tc>
          <w:tcPr>
            <w:tcW w:w="1117" w:type="dxa"/>
          </w:tcPr>
          <w:p>
            <w:pPr>
              <w:pStyle w:val="TableParagraph"/>
              <w:spacing w:line="183" w:lineRule="exact" w:before="11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(34,9)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3" w:lineRule="exact" w:before="11"/>
              <w:ind w:right="97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(37,7)</w:t>
            </w:r>
          </w:p>
        </w:tc>
        <w:tc>
          <w:tcPr>
            <w:tcW w:w="961" w:type="dxa"/>
          </w:tcPr>
          <w:p>
            <w:pPr>
              <w:pStyle w:val="TableParagraph"/>
              <w:spacing w:line="194" w:lineRule="exact" w:before="1"/>
              <w:ind w:right="9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7,8%</w:t>
            </w:r>
          </w:p>
        </w:tc>
      </w:tr>
      <w:tr>
        <w:trPr>
          <w:trHeight w:val="404" w:hRule="atLeast"/>
        </w:trPr>
        <w:tc>
          <w:tcPr>
            <w:tcW w:w="3809" w:type="dxa"/>
          </w:tcPr>
          <w:p>
            <w:pPr>
              <w:pStyle w:val="TableParagraph"/>
              <w:spacing w:line="192" w:lineRule="exact"/>
              <w:ind w:left="95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2"/>
                <w:sz w:val="16"/>
              </w:rPr>
              <w:t>Επαναλαμβανόμενα</w:t>
            </w:r>
          </w:p>
          <w:p>
            <w:pPr>
              <w:pStyle w:val="TableParagraph"/>
              <w:spacing w:line="186" w:lineRule="exact" w:before="6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2"/>
                <w:sz w:val="16"/>
              </w:rPr>
              <w:t>Λειτουργικά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Έξοδα</w:t>
            </w:r>
          </w:p>
        </w:tc>
        <w:tc>
          <w:tcPr>
            <w:tcW w:w="1130" w:type="dxa"/>
          </w:tcPr>
          <w:p>
            <w:pPr>
              <w:pStyle w:val="TableParagraph"/>
              <w:spacing w:before="3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8" w:lineRule="exact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(411,8)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before="3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8" w:lineRule="exact"/>
              <w:ind w:right="101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(467,9)</w:t>
            </w:r>
          </w:p>
        </w:tc>
        <w:tc>
          <w:tcPr>
            <w:tcW w:w="1233" w:type="dxa"/>
          </w:tcPr>
          <w:p>
            <w:pPr>
              <w:pStyle w:val="TableParagraph"/>
              <w:spacing w:line="187" w:lineRule="exact" w:before="197"/>
              <w:ind w:right="17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13,6%</w:t>
            </w:r>
          </w:p>
        </w:tc>
        <w:tc>
          <w:tcPr>
            <w:tcW w:w="1117" w:type="dxa"/>
          </w:tcPr>
          <w:p>
            <w:pPr>
              <w:pStyle w:val="TableParagraph"/>
              <w:spacing w:before="3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8" w:lineRule="exact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(228,3)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before="3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8" w:lineRule="exact"/>
              <w:ind w:right="9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(239,5)</w:t>
            </w:r>
          </w:p>
        </w:tc>
        <w:tc>
          <w:tcPr>
            <w:tcW w:w="961" w:type="dxa"/>
          </w:tcPr>
          <w:p>
            <w:pPr>
              <w:pStyle w:val="TableParagraph"/>
              <w:spacing w:line="187" w:lineRule="exact" w:before="197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4"/>
                <w:sz w:val="17"/>
              </w:rPr>
              <w:t>4,9%</w:t>
            </w:r>
          </w:p>
        </w:tc>
      </w:tr>
      <w:tr>
        <w:trPr>
          <w:trHeight w:val="219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2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Εξαιρούμενα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Κονδύλια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2"/>
              <w:ind w:right="102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0,0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2"/>
              <w:ind w:right="101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(2,4)</w:t>
            </w:r>
          </w:p>
        </w:tc>
        <w:tc>
          <w:tcPr>
            <w:tcW w:w="1233" w:type="dxa"/>
          </w:tcPr>
          <w:p>
            <w:pPr>
              <w:pStyle w:val="TableParagraph"/>
              <w:spacing w:line="198" w:lineRule="exact" w:before="2"/>
              <w:ind w:right="178"/>
              <w:jc w:val="right"/>
              <w:rPr>
                <w:i/>
                <w:sz w:val="17"/>
              </w:rPr>
            </w:pPr>
            <w:r>
              <w:rPr>
                <w:i/>
                <w:spacing w:val="-10"/>
                <w:w w:val="115"/>
                <w:sz w:val="17"/>
              </w:rPr>
              <w:t>…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2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(1,0)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2"/>
              <w:ind w:right="97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(1,4)</w:t>
            </w:r>
          </w:p>
        </w:tc>
        <w:tc>
          <w:tcPr>
            <w:tcW w:w="961" w:type="dxa"/>
          </w:tcPr>
          <w:p>
            <w:pPr>
              <w:pStyle w:val="TableParagraph"/>
              <w:spacing w:line="198" w:lineRule="exact" w:before="2"/>
              <w:ind w:right="9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40,0%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1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2"/>
                <w:sz w:val="16"/>
              </w:rPr>
              <w:t>Συνολικά</w:t>
            </w:r>
            <w:r>
              <w:rPr>
                <w:rFonts w:ascii="Tahoma" w:hAnsi="Tahoma"/>
                <w:b/>
                <w:spacing w:val="-4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sz w:val="16"/>
              </w:rPr>
              <w:t>Λειτουργικά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Έξοδα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1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(411,8)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101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(470,3)</w:t>
            </w:r>
          </w:p>
        </w:tc>
        <w:tc>
          <w:tcPr>
            <w:tcW w:w="1233" w:type="dxa"/>
          </w:tcPr>
          <w:p>
            <w:pPr>
              <w:pStyle w:val="TableParagraph"/>
              <w:spacing w:line="186" w:lineRule="exact" w:before="12"/>
              <w:ind w:right="17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14,2%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1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(229,3)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9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(240,9)</w:t>
            </w:r>
          </w:p>
        </w:tc>
        <w:tc>
          <w:tcPr>
            <w:tcW w:w="961" w:type="dxa"/>
          </w:tcPr>
          <w:p>
            <w:pPr>
              <w:pStyle w:val="TableParagraph"/>
              <w:spacing w:line="186" w:lineRule="exact" w:before="12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4"/>
                <w:sz w:val="17"/>
              </w:rPr>
              <w:t>5,1%</w:t>
            </w:r>
          </w:p>
        </w:tc>
      </w:tr>
      <w:tr>
        <w:trPr>
          <w:trHeight w:val="220" w:hRule="atLeast"/>
        </w:trPr>
        <w:tc>
          <w:tcPr>
            <w:tcW w:w="3809" w:type="dxa"/>
          </w:tcPr>
          <w:p>
            <w:pPr>
              <w:pStyle w:val="TableParagraph"/>
              <w:spacing w:line="198" w:lineRule="exact" w:before="3"/>
              <w:ind w:left="100"/>
              <w:rPr>
                <w:b/>
                <w:i/>
                <w:sz w:val="17"/>
              </w:rPr>
            </w:pPr>
            <w:r>
              <w:rPr>
                <w:b/>
                <w:i/>
                <w:w w:val="80"/>
                <w:sz w:val="17"/>
              </w:rPr>
              <w:t>Κύριο</w:t>
            </w:r>
            <w:r>
              <w:rPr>
                <w:b/>
                <w:i/>
                <w:spacing w:val="-5"/>
                <w:sz w:val="17"/>
              </w:rPr>
              <w:t> </w:t>
            </w:r>
            <w:r>
              <w:rPr>
                <w:b/>
                <w:i/>
                <w:w w:val="80"/>
                <w:sz w:val="17"/>
              </w:rPr>
              <w:t>Αποτέλεσμα</w:t>
            </w:r>
            <w:r>
              <w:rPr>
                <w:b/>
                <w:i/>
                <w:spacing w:val="-4"/>
                <w:sz w:val="17"/>
              </w:rPr>
              <w:t> </w:t>
            </w:r>
            <w:r>
              <w:rPr>
                <w:b/>
                <w:i/>
                <w:w w:val="80"/>
                <w:sz w:val="17"/>
              </w:rPr>
              <w:t>προ</w:t>
            </w:r>
            <w:r>
              <w:rPr>
                <w:b/>
                <w:i/>
                <w:spacing w:val="-4"/>
                <w:sz w:val="17"/>
              </w:rPr>
              <w:t> </w:t>
            </w:r>
            <w:r>
              <w:rPr>
                <w:b/>
                <w:i/>
                <w:spacing w:val="-2"/>
                <w:w w:val="80"/>
                <w:sz w:val="17"/>
              </w:rPr>
              <w:t>Προβλέψεων</w:t>
            </w:r>
          </w:p>
        </w:tc>
        <w:tc>
          <w:tcPr>
            <w:tcW w:w="1130" w:type="dxa"/>
          </w:tcPr>
          <w:p>
            <w:pPr>
              <w:pStyle w:val="TableParagraph"/>
              <w:spacing w:line="188" w:lineRule="exact" w:before="12"/>
              <w:ind w:right="102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642,4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8" w:lineRule="exact" w:before="12"/>
              <w:ind w:right="101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734,8</w:t>
            </w:r>
          </w:p>
        </w:tc>
        <w:tc>
          <w:tcPr>
            <w:tcW w:w="1233" w:type="dxa"/>
          </w:tcPr>
          <w:p>
            <w:pPr>
              <w:pStyle w:val="TableParagraph"/>
              <w:spacing w:line="188" w:lineRule="exact" w:before="12"/>
              <w:ind w:right="17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14,4%</w:t>
            </w:r>
          </w:p>
        </w:tc>
        <w:tc>
          <w:tcPr>
            <w:tcW w:w="1117" w:type="dxa"/>
          </w:tcPr>
          <w:p>
            <w:pPr>
              <w:pStyle w:val="TableParagraph"/>
              <w:spacing w:line="188" w:lineRule="exact" w:before="12"/>
              <w:ind w:right="96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332,4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8" w:lineRule="exact" w:before="12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402,4</w:t>
            </w:r>
          </w:p>
        </w:tc>
        <w:tc>
          <w:tcPr>
            <w:tcW w:w="961" w:type="dxa"/>
          </w:tcPr>
          <w:p>
            <w:pPr>
              <w:pStyle w:val="TableParagraph"/>
              <w:spacing w:line="188" w:lineRule="exact" w:before="12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21,0%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1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4"/>
                <w:sz w:val="16"/>
              </w:rPr>
              <w:t>Αποτέλεσμα</w:t>
            </w:r>
            <w:r>
              <w:rPr>
                <w:rFonts w:ascii="Tahoma" w:hAnsi="Tahoma"/>
                <w:b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προ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Προβλέψεων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1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696,7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101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743,9</w:t>
            </w:r>
          </w:p>
        </w:tc>
        <w:tc>
          <w:tcPr>
            <w:tcW w:w="1233" w:type="dxa"/>
          </w:tcPr>
          <w:p>
            <w:pPr>
              <w:pStyle w:val="TableParagraph"/>
              <w:spacing w:line="186" w:lineRule="exact" w:before="12"/>
              <w:ind w:right="17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4"/>
                <w:sz w:val="17"/>
              </w:rPr>
              <w:t>6,8%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1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357,7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9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386,1</w:t>
            </w:r>
          </w:p>
        </w:tc>
        <w:tc>
          <w:tcPr>
            <w:tcW w:w="961" w:type="dxa"/>
          </w:tcPr>
          <w:p>
            <w:pPr>
              <w:pStyle w:val="TableParagraph"/>
              <w:spacing w:line="186" w:lineRule="exact" w:before="12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4"/>
                <w:sz w:val="17"/>
              </w:rPr>
              <w:t>7,9%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Ζημίες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Απομείωσης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1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(91,3)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101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(92,9)</w:t>
            </w:r>
          </w:p>
        </w:tc>
        <w:tc>
          <w:tcPr>
            <w:tcW w:w="1233" w:type="dxa"/>
          </w:tcPr>
          <w:p>
            <w:pPr>
              <w:pStyle w:val="TableParagraph"/>
              <w:spacing w:line="198" w:lineRule="exact" w:before="1"/>
              <w:ind w:right="17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1,7%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1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(48,6)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97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(44,2)</w:t>
            </w:r>
          </w:p>
        </w:tc>
        <w:tc>
          <w:tcPr>
            <w:tcW w:w="961" w:type="dxa"/>
          </w:tcPr>
          <w:p>
            <w:pPr>
              <w:pStyle w:val="TableParagraph"/>
              <w:spacing w:line="198" w:lineRule="exact" w:before="1"/>
              <w:ind w:right="95"/>
              <w:jc w:val="right"/>
              <w:rPr>
                <w:i/>
                <w:sz w:val="17"/>
              </w:rPr>
            </w:pPr>
            <w:r>
              <w:rPr>
                <w:i/>
                <w:spacing w:val="-2"/>
                <w:w w:val="85"/>
                <w:sz w:val="17"/>
              </w:rPr>
              <w:t>(9,0%)</w:t>
            </w:r>
          </w:p>
        </w:tc>
      </w:tr>
      <w:tr>
        <w:trPr>
          <w:trHeight w:val="219" w:hRule="atLeast"/>
        </w:trPr>
        <w:tc>
          <w:tcPr>
            <w:tcW w:w="3809" w:type="dxa"/>
          </w:tcPr>
          <w:p>
            <w:pPr>
              <w:pStyle w:val="TableParagraph"/>
              <w:spacing w:line="186" w:lineRule="exact" w:before="13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Λοιπά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Κονδύλια</w:t>
            </w:r>
            <w:hyperlink w:history="true" w:anchor="_bookmark2">
              <w:r>
                <w:rPr>
                  <w:spacing w:val="-2"/>
                  <w:sz w:val="16"/>
                  <w:vertAlign w:val="superscript"/>
                </w:rPr>
                <w:t>3</w:t>
              </w:r>
            </w:hyperlink>
          </w:p>
        </w:tc>
        <w:tc>
          <w:tcPr>
            <w:tcW w:w="1130" w:type="dxa"/>
          </w:tcPr>
          <w:p>
            <w:pPr>
              <w:pStyle w:val="TableParagraph"/>
              <w:spacing w:line="189" w:lineRule="exact" w:before="11"/>
              <w:ind w:right="102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3,5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9" w:lineRule="exact" w:before="11"/>
              <w:ind w:right="101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0,0</w:t>
            </w:r>
          </w:p>
        </w:tc>
        <w:tc>
          <w:tcPr>
            <w:tcW w:w="1233" w:type="dxa"/>
          </w:tcPr>
          <w:p>
            <w:pPr>
              <w:pStyle w:val="TableParagraph"/>
              <w:spacing w:line="199" w:lineRule="exact" w:before="1"/>
              <w:ind w:right="175"/>
              <w:jc w:val="right"/>
              <w:rPr>
                <w:i/>
                <w:sz w:val="17"/>
              </w:rPr>
            </w:pPr>
            <w:r>
              <w:rPr>
                <w:i/>
                <w:spacing w:val="-2"/>
                <w:w w:val="85"/>
                <w:sz w:val="17"/>
              </w:rPr>
              <w:t>(99,3%)</w:t>
            </w:r>
          </w:p>
        </w:tc>
        <w:tc>
          <w:tcPr>
            <w:tcW w:w="1117" w:type="dxa"/>
          </w:tcPr>
          <w:p>
            <w:pPr>
              <w:pStyle w:val="TableParagraph"/>
              <w:spacing w:line="189" w:lineRule="exact" w:before="11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(6,7)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9" w:lineRule="exact" w:before="11"/>
              <w:ind w:right="97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6,7</w:t>
            </w:r>
          </w:p>
        </w:tc>
        <w:tc>
          <w:tcPr>
            <w:tcW w:w="961" w:type="dxa"/>
          </w:tcPr>
          <w:p>
            <w:pPr>
              <w:pStyle w:val="TableParagraph"/>
              <w:spacing w:line="199" w:lineRule="exact" w:before="1"/>
              <w:ind w:right="98"/>
              <w:jc w:val="right"/>
              <w:rPr>
                <w:i/>
                <w:sz w:val="17"/>
              </w:rPr>
            </w:pPr>
            <w:r>
              <w:rPr>
                <w:i/>
                <w:spacing w:val="-10"/>
                <w:w w:val="115"/>
                <w:sz w:val="17"/>
              </w:rPr>
              <w:t>…</w:t>
            </w:r>
          </w:p>
        </w:tc>
      </w:tr>
      <w:tr>
        <w:trPr>
          <w:trHeight w:val="219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3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6"/>
                <w:sz w:val="16"/>
              </w:rPr>
              <w:t>Κέρδη/(Ζημίες)</w:t>
            </w:r>
            <w:r>
              <w:rPr>
                <w:rFonts w:ascii="Tahoma" w:hAnsi="Tahoma"/>
                <w:b/>
                <w:spacing w:val="3"/>
                <w:sz w:val="16"/>
              </w:rPr>
              <w:t> </w:t>
            </w:r>
            <w:r>
              <w:rPr>
                <w:rFonts w:ascii="Tahoma" w:hAnsi="Tahoma"/>
                <w:b/>
                <w:spacing w:val="-6"/>
                <w:sz w:val="16"/>
              </w:rPr>
              <w:t>πριν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spacing w:val="-6"/>
                <w:sz w:val="16"/>
              </w:rPr>
              <w:t>τον</w:t>
            </w:r>
            <w:r>
              <w:rPr>
                <w:rFonts w:ascii="Tahoma" w:hAnsi="Tahoma"/>
                <w:b/>
                <w:spacing w:val="2"/>
                <w:sz w:val="16"/>
              </w:rPr>
              <w:t> </w:t>
            </w:r>
            <w:r>
              <w:rPr>
                <w:rFonts w:ascii="Tahoma" w:hAnsi="Tahoma"/>
                <w:b/>
                <w:spacing w:val="-6"/>
                <w:sz w:val="16"/>
              </w:rPr>
              <w:t>Φόρο</w:t>
            </w:r>
            <w:r>
              <w:rPr>
                <w:rFonts w:ascii="Tahoma" w:hAnsi="Tahoma"/>
                <w:b/>
                <w:spacing w:val="3"/>
                <w:sz w:val="16"/>
              </w:rPr>
              <w:t> </w:t>
            </w:r>
            <w:r>
              <w:rPr>
                <w:rFonts w:ascii="Tahoma" w:hAnsi="Tahoma"/>
                <w:b/>
                <w:spacing w:val="-6"/>
                <w:sz w:val="16"/>
              </w:rPr>
              <w:t>Εισοδήματος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3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608,9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3"/>
              <w:ind w:right="101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651,0</w:t>
            </w:r>
          </w:p>
        </w:tc>
        <w:tc>
          <w:tcPr>
            <w:tcW w:w="1233" w:type="dxa"/>
          </w:tcPr>
          <w:p>
            <w:pPr>
              <w:pStyle w:val="TableParagraph"/>
              <w:spacing w:line="198" w:lineRule="exact" w:before="2"/>
              <w:ind w:right="17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6,9%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3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302,4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3"/>
              <w:ind w:right="9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348,6</w:t>
            </w:r>
          </w:p>
        </w:tc>
        <w:tc>
          <w:tcPr>
            <w:tcW w:w="961" w:type="dxa"/>
          </w:tcPr>
          <w:p>
            <w:pPr>
              <w:pStyle w:val="TableParagraph"/>
              <w:spacing w:line="198" w:lineRule="exact" w:before="2"/>
              <w:ind w:right="9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15,3%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spacing w:line="187" w:lineRule="exact" w:before="11"/>
              <w:ind w:left="100"/>
              <w:rPr>
                <w:sz w:val="16"/>
              </w:rPr>
            </w:pPr>
            <w:r>
              <w:rPr>
                <w:sz w:val="16"/>
              </w:rPr>
              <w:t>Φόρος</w:t>
            </w:r>
            <w:r>
              <w:rPr>
                <w:spacing w:val="-2"/>
                <w:sz w:val="16"/>
              </w:rPr>
              <w:t> Εισοδήματος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7" w:lineRule="exact" w:before="11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(150,5)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101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(160,6)</w:t>
            </w:r>
          </w:p>
        </w:tc>
        <w:tc>
          <w:tcPr>
            <w:tcW w:w="1233" w:type="dxa"/>
          </w:tcPr>
          <w:p>
            <w:pPr>
              <w:pStyle w:val="TableParagraph"/>
              <w:spacing w:line="198" w:lineRule="exact" w:before="1"/>
              <w:ind w:right="17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6,7%</w:t>
            </w:r>
          </w:p>
        </w:tc>
        <w:tc>
          <w:tcPr>
            <w:tcW w:w="1117" w:type="dxa"/>
          </w:tcPr>
          <w:p>
            <w:pPr>
              <w:pStyle w:val="TableParagraph"/>
              <w:spacing w:line="187" w:lineRule="exact" w:before="11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(79,0)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7" w:lineRule="exact" w:before="11"/>
              <w:ind w:right="97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(81,6)</w:t>
            </w:r>
          </w:p>
        </w:tc>
        <w:tc>
          <w:tcPr>
            <w:tcW w:w="961" w:type="dxa"/>
          </w:tcPr>
          <w:p>
            <w:pPr>
              <w:pStyle w:val="TableParagraph"/>
              <w:spacing w:line="198" w:lineRule="exact" w:before="1"/>
              <w:ind w:right="9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3,3%</w:t>
            </w:r>
          </w:p>
        </w:tc>
      </w:tr>
      <w:tr>
        <w:trPr>
          <w:trHeight w:val="219" w:hRule="atLeast"/>
        </w:trPr>
        <w:tc>
          <w:tcPr>
            <w:tcW w:w="3809" w:type="dxa"/>
          </w:tcPr>
          <w:p>
            <w:pPr>
              <w:pStyle w:val="TableParagraph"/>
              <w:spacing w:line="186" w:lineRule="exact" w:before="14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6"/>
                <w:sz w:val="16"/>
              </w:rPr>
              <w:t>Κέρδη/(Ζημίες)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pacing w:val="-6"/>
                <w:sz w:val="16"/>
              </w:rPr>
              <w:t>μετά</w:t>
            </w:r>
            <w:r>
              <w:rPr>
                <w:rFonts w:ascii="Tahoma" w:hAnsi="Tahoma"/>
                <w:b/>
                <w:spacing w:val="-3"/>
                <w:sz w:val="16"/>
              </w:rPr>
              <w:t> </w:t>
            </w:r>
            <w:r>
              <w:rPr>
                <w:rFonts w:ascii="Tahoma" w:hAnsi="Tahoma"/>
                <w:b/>
                <w:spacing w:val="-6"/>
                <w:sz w:val="16"/>
              </w:rPr>
              <w:t>από Φόρους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8" w:lineRule="exact" w:before="11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458,4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8" w:lineRule="exact" w:before="11"/>
              <w:ind w:right="101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490,4</w:t>
            </w:r>
          </w:p>
        </w:tc>
        <w:tc>
          <w:tcPr>
            <w:tcW w:w="1233" w:type="dxa"/>
          </w:tcPr>
          <w:p>
            <w:pPr>
              <w:pStyle w:val="TableParagraph"/>
              <w:spacing w:line="199" w:lineRule="exact" w:before="1"/>
              <w:ind w:right="177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7,0%</w:t>
            </w:r>
          </w:p>
        </w:tc>
        <w:tc>
          <w:tcPr>
            <w:tcW w:w="1117" w:type="dxa"/>
          </w:tcPr>
          <w:p>
            <w:pPr>
              <w:pStyle w:val="TableParagraph"/>
              <w:spacing w:line="188" w:lineRule="exact" w:before="11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223,4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8" w:lineRule="exact" w:before="11"/>
              <w:ind w:right="9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267,0</w:t>
            </w:r>
          </w:p>
        </w:tc>
        <w:tc>
          <w:tcPr>
            <w:tcW w:w="961" w:type="dxa"/>
          </w:tcPr>
          <w:p>
            <w:pPr>
              <w:pStyle w:val="TableParagraph"/>
              <w:spacing w:line="199" w:lineRule="exact" w:before="1"/>
              <w:ind w:right="97"/>
              <w:jc w:val="right"/>
              <w:rPr>
                <w:i/>
                <w:sz w:val="17"/>
              </w:rPr>
            </w:pPr>
            <w:r>
              <w:rPr>
                <w:i/>
                <w:spacing w:val="-2"/>
                <w:w w:val="90"/>
                <w:sz w:val="17"/>
              </w:rPr>
              <w:t>19,5%</w:t>
            </w:r>
          </w:p>
        </w:tc>
      </w:tr>
      <w:tr>
        <w:trPr>
          <w:trHeight w:val="213" w:hRule="atLeast"/>
        </w:trPr>
        <w:tc>
          <w:tcPr>
            <w:tcW w:w="3809" w:type="dxa"/>
          </w:tcPr>
          <w:p>
            <w:pPr>
              <w:pStyle w:val="TableParagraph"/>
              <w:spacing w:line="182" w:lineRule="exact" w:before="12"/>
              <w:ind w:left="100"/>
              <w:rPr>
                <w:sz w:val="16"/>
              </w:rPr>
            </w:pPr>
            <w:r>
              <w:rPr>
                <w:w w:val="90"/>
                <w:sz w:val="16"/>
              </w:rPr>
              <w:t>Επίπτωση</w:t>
            </w:r>
            <w:r>
              <w:rPr>
                <w:spacing w:val="12"/>
                <w:sz w:val="16"/>
              </w:rPr>
              <w:t> </w:t>
            </w:r>
            <w:r>
              <w:rPr>
                <w:w w:val="90"/>
                <w:sz w:val="16"/>
              </w:rPr>
              <w:t>από</w:t>
            </w:r>
            <w:r>
              <w:rPr>
                <w:spacing w:val="12"/>
                <w:sz w:val="16"/>
              </w:rPr>
              <w:t> </w:t>
            </w:r>
            <w:r>
              <w:rPr>
                <w:w w:val="90"/>
                <w:sz w:val="16"/>
              </w:rPr>
              <w:t>συναλλαγές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4"/>
                <w:w w:val="90"/>
                <w:sz w:val="16"/>
              </w:rPr>
              <w:t>ΜΕΑ</w:t>
            </w:r>
            <w:hyperlink w:history="true" w:anchor="_bookmark3">
              <w:r>
                <w:rPr>
                  <w:spacing w:val="-4"/>
                  <w:w w:val="90"/>
                  <w:sz w:val="16"/>
                  <w:vertAlign w:val="superscript"/>
                </w:rPr>
                <w:t>4</w:t>
              </w:r>
            </w:hyperlink>
          </w:p>
        </w:tc>
        <w:tc>
          <w:tcPr>
            <w:tcW w:w="1130" w:type="dxa"/>
          </w:tcPr>
          <w:p>
            <w:pPr>
              <w:pStyle w:val="TableParagraph"/>
              <w:spacing w:line="182" w:lineRule="exact" w:before="12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(88,9)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2" w:lineRule="exact" w:before="12"/>
              <w:ind w:right="101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10,2</w:t>
            </w:r>
          </w:p>
        </w:tc>
        <w:tc>
          <w:tcPr>
            <w:tcW w:w="1233" w:type="dxa"/>
          </w:tcPr>
          <w:p>
            <w:pPr>
              <w:pStyle w:val="TableParagraph"/>
              <w:spacing w:line="192" w:lineRule="exact" w:before="2"/>
              <w:ind w:right="178"/>
              <w:jc w:val="right"/>
              <w:rPr>
                <w:i/>
                <w:sz w:val="17"/>
              </w:rPr>
            </w:pPr>
            <w:r>
              <w:rPr>
                <w:i/>
                <w:spacing w:val="-10"/>
                <w:w w:val="115"/>
                <w:sz w:val="17"/>
              </w:rPr>
              <w:t>…</w:t>
            </w:r>
          </w:p>
        </w:tc>
        <w:tc>
          <w:tcPr>
            <w:tcW w:w="1117" w:type="dxa"/>
          </w:tcPr>
          <w:p>
            <w:pPr>
              <w:pStyle w:val="TableParagraph"/>
              <w:spacing w:line="182" w:lineRule="exact" w:before="12"/>
              <w:ind w:right="96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10,8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2" w:lineRule="exact" w:before="12"/>
              <w:ind w:right="97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(0,7)</w:t>
            </w:r>
          </w:p>
        </w:tc>
        <w:tc>
          <w:tcPr>
            <w:tcW w:w="961" w:type="dxa"/>
          </w:tcPr>
          <w:p>
            <w:pPr>
              <w:pStyle w:val="TableParagraph"/>
              <w:spacing w:line="192" w:lineRule="exact" w:before="2"/>
              <w:ind w:right="98"/>
              <w:jc w:val="right"/>
              <w:rPr>
                <w:i/>
                <w:sz w:val="17"/>
              </w:rPr>
            </w:pPr>
            <w:r>
              <w:rPr>
                <w:i/>
                <w:spacing w:val="-10"/>
                <w:w w:val="115"/>
                <w:sz w:val="17"/>
              </w:rPr>
              <w:t>…</w:t>
            </w:r>
          </w:p>
        </w:tc>
      </w:tr>
      <w:tr>
        <w:trPr>
          <w:trHeight w:val="403" w:hRule="atLeast"/>
        </w:trPr>
        <w:tc>
          <w:tcPr>
            <w:tcW w:w="3809" w:type="dxa"/>
          </w:tcPr>
          <w:p>
            <w:pPr>
              <w:pStyle w:val="TableParagraph"/>
              <w:spacing w:line="192" w:lineRule="exact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w w:val="90"/>
                <w:sz w:val="16"/>
              </w:rPr>
              <w:t>Κέρδη/(Ζημίες)</w:t>
            </w:r>
            <w:r>
              <w:rPr>
                <w:spacing w:val="9"/>
                <w:sz w:val="16"/>
              </w:rPr>
              <w:t> </w:t>
            </w:r>
            <w:r>
              <w:rPr>
                <w:w w:val="90"/>
                <w:sz w:val="16"/>
              </w:rPr>
              <w:t>μετά</w:t>
            </w:r>
            <w:r>
              <w:rPr>
                <w:spacing w:val="7"/>
                <w:sz w:val="16"/>
              </w:rPr>
              <w:t> </w:t>
            </w:r>
            <w:r>
              <w:rPr>
                <w:w w:val="90"/>
                <w:sz w:val="16"/>
              </w:rPr>
              <w:t>από</w:t>
            </w:r>
            <w:r>
              <w:rPr>
                <w:spacing w:val="8"/>
                <w:sz w:val="16"/>
              </w:rPr>
              <w:t> </w:t>
            </w:r>
            <w:r>
              <w:rPr>
                <w:w w:val="90"/>
                <w:sz w:val="16"/>
              </w:rPr>
              <w:t>Φόρους</w:t>
            </w:r>
            <w:r>
              <w:rPr>
                <w:spacing w:val="16"/>
                <w:sz w:val="16"/>
              </w:rPr>
              <w:t> </w:t>
            </w:r>
            <w:r>
              <w:rPr>
                <w:rFonts w:ascii="Tahoma" w:hAnsi="Tahoma"/>
                <w:b/>
                <w:spacing w:val="-5"/>
                <w:w w:val="90"/>
                <w:sz w:val="16"/>
              </w:rPr>
              <w:t>από</w:t>
            </w:r>
          </w:p>
          <w:p>
            <w:pPr>
              <w:pStyle w:val="TableParagraph"/>
              <w:spacing w:line="186" w:lineRule="exact" w:before="4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διακοπείσες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δραστηριότητες</w:t>
            </w:r>
          </w:p>
        </w:tc>
        <w:tc>
          <w:tcPr>
            <w:tcW w:w="1130" w:type="dxa"/>
          </w:tcPr>
          <w:p>
            <w:pPr>
              <w:pStyle w:val="TableParagraph"/>
              <w:spacing w:before="1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9" w:lineRule="exact"/>
              <w:ind w:right="102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6,7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before="1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9" w:lineRule="exact"/>
              <w:ind w:right="101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2,4</w:t>
            </w:r>
          </w:p>
        </w:tc>
        <w:tc>
          <w:tcPr>
            <w:tcW w:w="1233" w:type="dxa"/>
          </w:tcPr>
          <w:p>
            <w:pPr>
              <w:pStyle w:val="TableParagraph"/>
              <w:spacing w:before="95"/>
              <w:ind w:right="175"/>
              <w:jc w:val="right"/>
              <w:rPr>
                <w:i/>
                <w:sz w:val="17"/>
              </w:rPr>
            </w:pPr>
            <w:r>
              <w:rPr>
                <w:i/>
                <w:spacing w:val="-2"/>
                <w:w w:val="85"/>
                <w:sz w:val="17"/>
              </w:rPr>
              <w:t>(63,7%)</w:t>
            </w:r>
          </w:p>
        </w:tc>
        <w:tc>
          <w:tcPr>
            <w:tcW w:w="1117" w:type="dxa"/>
          </w:tcPr>
          <w:p>
            <w:pPr>
              <w:pStyle w:val="TableParagraph"/>
              <w:spacing w:before="1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9" w:lineRule="exact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(3,6)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before="1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9" w:lineRule="exact"/>
              <w:ind w:right="97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6,1</w:t>
            </w:r>
          </w:p>
        </w:tc>
        <w:tc>
          <w:tcPr>
            <w:tcW w:w="961" w:type="dxa"/>
          </w:tcPr>
          <w:p>
            <w:pPr>
              <w:pStyle w:val="TableParagraph"/>
              <w:spacing w:before="95"/>
              <w:ind w:right="98"/>
              <w:jc w:val="right"/>
              <w:rPr>
                <w:i/>
                <w:sz w:val="17"/>
              </w:rPr>
            </w:pPr>
            <w:r>
              <w:rPr>
                <w:i/>
                <w:spacing w:val="-10"/>
                <w:w w:val="115"/>
                <w:sz w:val="17"/>
              </w:rPr>
              <w:t>…</w:t>
            </w:r>
          </w:p>
        </w:tc>
      </w:tr>
      <w:tr>
        <w:trPr>
          <w:trHeight w:val="213" w:hRule="atLeast"/>
        </w:trPr>
        <w:tc>
          <w:tcPr>
            <w:tcW w:w="3809" w:type="dxa"/>
          </w:tcPr>
          <w:p>
            <w:pPr>
              <w:pStyle w:val="TableParagraph"/>
              <w:spacing w:line="182" w:lineRule="exact" w:before="12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Λοιπές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αναπροσαρμογές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2" w:lineRule="exact" w:before="12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146,0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2" w:lineRule="exact" w:before="12"/>
              <w:ind w:right="101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(5,8)</w:t>
            </w:r>
          </w:p>
        </w:tc>
        <w:tc>
          <w:tcPr>
            <w:tcW w:w="1233" w:type="dxa"/>
          </w:tcPr>
          <w:p>
            <w:pPr>
              <w:pStyle w:val="TableParagraph"/>
              <w:spacing w:line="192" w:lineRule="exact" w:before="2"/>
              <w:ind w:right="178"/>
              <w:jc w:val="right"/>
              <w:rPr>
                <w:i/>
                <w:sz w:val="17"/>
              </w:rPr>
            </w:pPr>
            <w:r>
              <w:rPr>
                <w:i/>
                <w:spacing w:val="-10"/>
                <w:w w:val="115"/>
                <w:sz w:val="17"/>
              </w:rPr>
              <w:t>…</w:t>
            </w:r>
          </w:p>
        </w:tc>
        <w:tc>
          <w:tcPr>
            <w:tcW w:w="1117" w:type="dxa"/>
          </w:tcPr>
          <w:p>
            <w:pPr>
              <w:pStyle w:val="TableParagraph"/>
              <w:spacing w:line="182" w:lineRule="exact" w:before="12"/>
              <w:ind w:right="96"/>
              <w:jc w:val="right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(49,1)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2" w:lineRule="exact" w:before="12"/>
              <w:ind w:right="97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43,3</w:t>
            </w:r>
          </w:p>
        </w:tc>
        <w:tc>
          <w:tcPr>
            <w:tcW w:w="961" w:type="dxa"/>
          </w:tcPr>
          <w:p>
            <w:pPr>
              <w:pStyle w:val="TableParagraph"/>
              <w:spacing w:line="192" w:lineRule="exact" w:before="2"/>
              <w:ind w:right="98"/>
              <w:jc w:val="right"/>
              <w:rPr>
                <w:i/>
                <w:sz w:val="17"/>
              </w:rPr>
            </w:pPr>
            <w:r>
              <w:rPr>
                <w:i/>
                <w:spacing w:val="-10"/>
                <w:w w:val="115"/>
                <w:sz w:val="17"/>
              </w:rPr>
              <w:t>…</w:t>
            </w:r>
          </w:p>
        </w:tc>
      </w:tr>
      <w:tr>
        <w:trPr>
          <w:trHeight w:val="402" w:hRule="atLeast"/>
        </w:trPr>
        <w:tc>
          <w:tcPr>
            <w:tcW w:w="3809" w:type="dxa"/>
          </w:tcPr>
          <w:p>
            <w:pPr>
              <w:pStyle w:val="TableParagraph"/>
              <w:spacing w:line="191" w:lineRule="exact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4"/>
                <w:sz w:val="16"/>
              </w:rPr>
              <w:t>Καθαρά</w:t>
            </w:r>
            <w:r>
              <w:rPr>
                <w:rFonts w:ascii="Tahoma" w:hAnsi="Tahoma"/>
                <w:b/>
                <w:spacing w:val="-6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Κέρδη/(Ζημίες)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μετά</w:t>
            </w:r>
            <w:r>
              <w:rPr>
                <w:rFonts w:ascii="Tahoma" w:hAnsi="Tahoma"/>
                <w:b/>
                <w:spacing w:val="-6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από</w:t>
            </w:r>
            <w:r>
              <w:rPr>
                <w:rFonts w:ascii="Tahoma" w:hAnsi="Tahoma"/>
                <w:b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Φόρους</w:t>
            </w:r>
            <w:r>
              <w:rPr>
                <w:rFonts w:ascii="Tahoma" w:hAnsi="Tahoma"/>
                <w:b/>
                <w:spacing w:val="-5"/>
                <w:sz w:val="16"/>
              </w:rPr>
              <w:t> που</w:t>
            </w:r>
          </w:p>
          <w:p>
            <w:pPr>
              <w:pStyle w:val="TableParagraph"/>
              <w:spacing w:line="185" w:lineRule="exact" w:before="6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4"/>
                <w:sz w:val="16"/>
              </w:rPr>
              <w:t>αναλογούν</w:t>
            </w:r>
            <w:r>
              <w:rPr>
                <w:rFonts w:ascii="Tahoma" w:hAnsi="Tahoma"/>
                <w:b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στους</w:t>
            </w:r>
            <w:r>
              <w:rPr>
                <w:rFonts w:ascii="Tahoma" w:hAnsi="Tahoma"/>
                <w:b/>
                <w:spacing w:val="4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Μετόχους</w:t>
            </w:r>
            <w:r>
              <w:rPr>
                <w:rFonts w:ascii="Tahoma" w:hAnsi="Tahoma"/>
                <w:b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της</w:t>
            </w:r>
            <w:r>
              <w:rPr>
                <w:rFonts w:ascii="Tahoma" w:hAnsi="Tahoma"/>
                <w:b/>
                <w:spacing w:val="4"/>
                <w:sz w:val="16"/>
              </w:rPr>
              <w:t> </w:t>
            </w:r>
            <w:r>
              <w:rPr>
                <w:rFonts w:ascii="Tahoma" w:hAnsi="Tahoma"/>
                <w:b/>
                <w:spacing w:val="-4"/>
                <w:sz w:val="16"/>
              </w:rPr>
              <w:t>Τράπεζας</w:t>
            </w:r>
          </w:p>
        </w:tc>
        <w:tc>
          <w:tcPr>
            <w:tcW w:w="1130" w:type="dxa"/>
          </w:tcPr>
          <w:p>
            <w:pPr>
              <w:pStyle w:val="TableParagraph"/>
              <w:spacing w:before="2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7" w:lineRule="exact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522,2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before="2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7" w:lineRule="exact"/>
              <w:ind w:right="101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497,2</w:t>
            </w:r>
          </w:p>
        </w:tc>
        <w:tc>
          <w:tcPr>
            <w:tcW w:w="1233" w:type="dxa"/>
          </w:tcPr>
          <w:p>
            <w:pPr>
              <w:pStyle w:val="TableParagraph"/>
              <w:spacing w:line="186" w:lineRule="exact" w:before="195"/>
              <w:ind w:right="175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(4,8%)</w:t>
            </w:r>
          </w:p>
        </w:tc>
        <w:tc>
          <w:tcPr>
            <w:tcW w:w="1117" w:type="dxa"/>
          </w:tcPr>
          <w:p>
            <w:pPr>
              <w:pStyle w:val="TableParagraph"/>
              <w:spacing w:before="2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7" w:lineRule="exact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181,5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before="2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7" w:lineRule="exact"/>
              <w:ind w:right="9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315,7</w:t>
            </w:r>
          </w:p>
        </w:tc>
        <w:tc>
          <w:tcPr>
            <w:tcW w:w="961" w:type="dxa"/>
          </w:tcPr>
          <w:p>
            <w:pPr>
              <w:pStyle w:val="TableParagraph"/>
              <w:spacing w:line="186" w:lineRule="exact" w:before="195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73,9%</w:t>
            </w:r>
          </w:p>
        </w:tc>
      </w:tr>
      <w:tr>
        <w:trPr>
          <w:trHeight w:val="215" w:hRule="atLeast"/>
        </w:trPr>
        <w:tc>
          <w:tcPr>
            <w:tcW w:w="3809" w:type="dxa"/>
          </w:tcPr>
          <w:p>
            <w:pPr>
              <w:pStyle w:val="TableParagraph"/>
              <w:spacing w:line="194" w:lineRule="exact" w:before="1"/>
              <w:ind w:left="100"/>
              <w:rPr>
                <w:b/>
                <w:i/>
                <w:sz w:val="17"/>
              </w:rPr>
            </w:pPr>
            <w:r>
              <w:rPr>
                <w:b/>
                <w:i/>
                <w:w w:val="80"/>
                <w:sz w:val="17"/>
              </w:rPr>
              <w:t>Προσαρμοσμένα</w:t>
            </w:r>
            <w:hyperlink w:history="true" w:anchor="_bookmark4">
              <w:r>
                <w:rPr>
                  <w:rFonts w:ascii="Arial" w:hAnsi="Arial"/>
                  <w:b/>
                  <w:i/>
                  <w:w w:val="80"/>
                  <w:position w:val="6"/>
                  <w:sz w:val="10"/>
                </w:rPr>
                <w:t>5</w:t>
              </w:r>
            </w:hyperlink>
            <w:r>
              <w:rPr>
                <w:rFonts w:ascii="Arial" w:hAnsi="Arial"/>
                <w:b/>
                <w:i/>
                <w:spacing w:val="16"/>
                <w:position w:val="6"/>
                <w:sz w:val="10"/>
              </w:rPr>
              <w:t> </w:t>
            </w:r>
            <w:r>
              <w:rPr>
                <w:b/>
                <w:i/>
                <w:w w:val="80"/>
                <w:sz w:val="17"/>
              </w:rPr>
              <w:t>Κέρδη</w:t>
            </w:r>
            <w:r>
              <w:rPr>
                <w:b/>
                <w:i/>
                <w:spacing w:val="2"/>
                <w:sz w:val="17"/>
              </w:rPr>
              <w:t> </w:t>
            </w:r>
            <w:r>
              <w:rPr>
                <w:b/>
                <w:i/>
                <w:w w:val="80"/>
                <w:sz w:val="17"/>
              </w:rPr>
              <w:t>μετά</w:t>
            </w:r>
            <w:r>
              <w:rPr>
                <w:b/>
                <w:i/>
                <w:spacing w:val="1"/>
                <w:sz w:val="17"/>
              </w:rPr>
              <w:t> </w:t>
            </w:r>
            <w:r>
              <w:rPr>
                <w:b/>
                <w:i/>
                <w:w w:val="80"/>
                <w:sz w:val="17"/>
              </w:rPr>
              <w:t>από</w:t>
            </w:r>
            <w:r>
              <w:rPr>
                <w:b/>
                <w:i/>
                <w:spacing w:val="2"/>
                <w:sz w:val="17"/>
              </w:rPr>
              <w:t> </w:t>
            </w:r>
            <w:r>
              <w:rPr>
                <w:b/>
                <w:i/>
                <w:spacing w:val="-2"/>
                <w:w w:val="80"/>
                <w:sz w:val="17"/>
              </w:rPr>
              <w:t>Φόρους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1" w:lineRule="exact" w:before="14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465,1</w:t>
            </w:r>
          </w:p>
        </w:tc>
        <w:tc>
          <w:tcPr>
            <w:tcW w:w="1238" w:type="dxa"/>
            <w:shd w:val="clear" w:color="auto" w:fill="D2DFED"/>
          </w:tcPr>
          <w:p>
            <w:pPr>
              <w:pStyle w:val="TableParagraph"/>
              <w:spacing w:line="181" w:lineRule="exact" w:before="14"/>
              <w:ind w:right="101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495,3</w:t>
            </w:r>
          </w:p>
        </w:tc>
        <w:tc>
          <w:tcPr>
            <w:tcW w:w="1233" w:type="dxa"/>
          </w:tcPr>
          <w:p>
            <w:pPr>
              <w:pStyle w:val="TableParagraph"/>
              <w:spacing w:line="180" w:lineRule="exact" w:before="15"/>
              <w:ind w:right="17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4"/>
                <w:sz w:val="17"/>
              </w:rPr>
              <w:t>6,5%</w:t>
            </w:r>
          </w:p>
        </w:tc>
        <w:tc>
          <w:tcPr>
            <w:tcW w:w="1117" w:type="dxa"/>
          </w:tcPr>
          <w:p>
            <w:pPr>
              <w:pStyle w:val="TableParagraph"/>
              <w:spacing w:line="181" w:lineRule="exact" w:before="14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220,5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1" w:lineRule="exact" w:before="14"/>
              <w:ind w:right="9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w w:val="95"/>
                <w:sz w:val="16"/>
              </w:rPr>
              <w:t>274,8</w:t>
            </w:r>
          </w:p>
        </w:tc>
        <w:tc>
          <w:tcPr>
            <w:tcW w:w="961" w:type="dxa"/>
          </w:tcPr>
          <w:p>
            <w:pPr>
              <w:pStyle w:val="TableParagraph"/>
              <w:spacing w:line="180" w:lineRule="exact" w:before="15"/>
              <w:ind w:right="97"/>
              <w:jc w:val="right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pacing w:val="-2"/>
                <w:sz w:val="17"/>
              </w:rPr>
              <w:t>24,6%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8" w:hRule="atLeast"/>
        </w:trPr>
        <w:tc>
          <w:tcPr>
            <w:tcW w:w="3809" w:type="dxa"/>
          </w:tcPr>
          <w:p>
            <w:pPr>
              <w:pStyle w:val="TableParagraph"/>
              <w:spacing w:line="200" w:lineRule="atLeast" w:before="118"/>
              <w:ind w:left="100" w:right="83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72E"/>
                <w:w w:val="95"/>
                <w:sz w:val="16"/>
              </w:rPr>
              <w:t>Κατάσταση Χρηματοοικονομικής Θέσης </w:t>
            </w:r>
            <w:r>
              <w:rPr>
                <w:rFonts w:ascii="Tahoma" w:hAnsi="Tahoma"/>
                <w:b/>
                <w:color w:val="E2872E"/>
                <w:w w:val="85"/>
                <w:sz w:val="16"/>
              </w:rPr>
              <w:t>|</w:t>
            </w:r>
            <w:r>
              <w:rPr>
                <w:rFonts w:ascii="Tahoma" w:hAnsi="Tahoma"/>
                <w:b/>
                <w:color w:val="E2872E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color w:val="E2872E"/>
                <w:spacing w:val="-2"/>
                <w:w w:val="95"/>
                <w:sz w:val="16"/>
              </w:rPr>
              <w:t>Όμιλος</w:t>
            </w:r>
          </w:p>
        </w:tc>
        <w:tc>
          <w:tcPr>
            <w:tcW w:w="1130" w:type="dxa"/>
          </w:tcPr>
          <w:p>
            <w:pPr>
              <w:pStyle w:val="TableParagraph"/>
              <w:spacing w:before="130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spacing w:val="-2"/>
                <w:w w:val="95"/>
                <w:sz w:val="16"/>
              </w:rPr>
              <w:t>30.06.2025</w:t>
            </w:r>
          </w:p>
        </w:tc>
        <w:tc>
          <w:tcPr>
            <w:tcW w:w="1238" w:type="dxa"/>
          </w:tcPr>
          <w:p>
            <w:pPr>
              <w:pStyle w:val="TableParagraph"/>
              <w:spacing w:before="130"/>
              <w:ind w:right="101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spacing w:val="-2"/>
                <w:w w:val="95"/>
                <w:sz w:val="16"/>
              </w:rPr>
              <w:t>30.09.2025</w:t>
            </w:r>
          </w:p>
        </w:tc>
        <w:tc>
          <w:tcPr>
            <w:tcW w:w="1233" w:type="dxa"/>
          </w:tcPr>
          <w:p>
            <w:pPr>
              <w:pStyle w:val="TableParagraph"/>
              <w:spacing w:before="130"/>
              <w:ind w:right="17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spacing w:val="-2"/>
                <w:w w:val="95"/>
                <w:sz w:val="16"/>
              </w:rPr>
              <w:t>31.12.2025</w:t>
            </w:r>
          </w:p>
        </w:tc>
        <w:tc>
          <w:tcPr>
            <w:tcW w:w="1117" w:type="dxa"/>
          </w:tcPr>
          <w:p>
            <w:pPr>
              <w:pStyle w:val="TableParagraph"/>
              <w:spacing w:before="130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spacing w:val="-2"/>
                <w:w w:val="95"/>
                <w:sz w:val="16"/>
              </w:rPr>
              <w:t>31.03.2026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before="130"/>
              <w:ind w:right="97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spacing w:val="-2"/>
                <w:w w:val="95"/>
                <w:sz w:val="16"/>
              </w:rPr>
              <w:t>30.06.2026</w:t>
            </w:r>
          </w:p>
        </w:tc>
        <w:tc>
          <w:tcPr>
            <w:tcW w:w="961" w:type="dxa"/>
          </w:tcPr>
          <w:p>
            <w:pPr>
              <w:pStyle w:val="TableParagraph"/>
              <w:spacing w:before="130"/>
              <w:ind w:left="255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w w:val="95"/>
                <w:sz w:val="16"/>
              </w:rPr>
              <w:t>YoY</w:t>
            </w:r>
            <w:r>
              <w:rPr>
                <w:rFonts w:ascii="Tahoma"/>
                <w:b/>
                <w:color w:val="E2872E"/>
                <w:spacing w:val="9"/>
                <w:sz w:val="16"/>
              </w:rPr>
              <w:t> </w:t>
            </w:r>
            <w:r>
              <w:rPr>
                <w:rFonts w:ascii="Tahoma"/>
                <w:b/>
                <w:color w:val="E2872E"/>
                <w:spacing w:val="-5"/>
                <w:w w:val="95"/>
                <w:sz w:val="16"/>
              </w:rPr>
              <w:t>(%)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spacing w:line="183" w:lineRule="exact" w:before="15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Ενεργητικό</w:t>
            </w:r>
          </w:p>
        </w:tc>
        <w:tc>
          <w:tcPr>
            <w:tcW w:w="1130" w:type="dxa"/>
          </w:tcPr>
          <w:p>
            <w:pPr>
              <w:pStyle w:val="TableParagraph"/>
              <w:spacing w:line="183" w:lineRule="exact" w:before="15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73.504</w:t>
            </w:r>
          </w:p>
        </w:tc>
        <w:tc>
          <w:tcPr>
            <w:tcW w:w="1238" w:type="dxa"/>
          </w:tcPr>
          <w:p>
            <w:pPr>
              <w:pStyle w:val="TableParagraph"/>
              <w:spacing w:line="183" w:lineRule="exact" w:before="15"/>
              <w:ind w:right="140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74.546</w:t>
            </w:r>
          </w:p>
        </w:tc>
        <w:tc>
          <w:tcPr>
            <w:tcW w:w="1233" w:type="dxa"/>
          </w:tcPr>
          <w:p>
            <w:pPr>
              <w:pStyle w:val="TableParagraph"/>
              <w:spacing w:line="183" w:lineRule="exact" w:before="15"/>
              <w:ind w:right="17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77.459</w:t>
            </w:r>
          </w:p>
        </w:tc>
        <w:tc>
          <w:tcPr>
            <w:tcW w:w="1117" w:type="dxa"/>
          </w:tcPr>
          <w:p>
            <w:pPr>
              <w:pStyle w:val="TableParagraph"/>
              <w:spacing w:line="183" w:lineRule="exact" w:before="15"/>
              <w:ind w:right="9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79.333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3" w:lineRule="exact" w:before="15"/>
              <w:ind w:left="61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82.014</w:t>
            </w:r>
          </w:p>
        </w:tc>
        <w:tc>
          <w:tcPr>
            <w:tcW w:w="961" w:type="dxa"/>
          </w:tcPr>
          <w:p>
            <w:pPr>
              <w:pStyle w:val="TableParagraph"/>
              <w:spacing w:line="193" w:lineRule="exact" w:before="5"/>
              <w:ind w:right="40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11,6%</w:t>
            </w:r>
          </w:p>
        </w:tc>
      </w:tr>
      <w:tr>
        <w:trPr>
          <w:trHeight w:val="401" w:hRule="atLeast"/>
        </w:trPr>
        <w:tc>
          <w:tcPr>
            <w:tcW w:w="3809" w:type="dxa"/>
          </w:tcPr>
          <w:p>
            <w:pPr>
              <w:pStyle w:val="TableParagraph"/>
              <w:spacing w:line="196" w:lineRule="exact"/>
              <w:ind w:left="100" w:right="810"/>
              <w:rPr>
                <w:sz w:val="16"/>
              </w:rPr>
            </w:pPr>
            <w:r>
              <w:rPr>
                <w:spacing w:val="-6"/>
                <w:sz w:val="16"/>
              </w:rPr>
              <w:t>Χορηγήσεις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6"/>
                <w:sz w:val="16"/>
              </w:rPr>
              <w:t>(μετά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6"/>
                <w:sz w:val="16"/>
              </w:rPr>
              <w:t>από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συσσωρευμένες </w:t>
            </w:r>
            <w:r>
              <w:rPr>
                <w:spacing w:val="-2"/>
                <w:sz w:val="16"/>
              </w:rPr>
              <w:t>προβλέψεις)</w:t>
            </w:r>
          </w:p>
        </w:tc>
        <w:tc>
          <w:tcPr>
            <w:tcW w:w="1130" w:type="dxa"/>
          </w:tcPr>
          <w:p>
            <w:pPr>
              <w:pStyle w:val="TableParagraph"/>
              <w:spacing w:before="1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6" w:lineRule="exact" w:before="1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40.997</w:t>
            </w:r>
          </w:p>
        </w:tc>
        <w:tc>
          <w:tcPr>
            <w:tcW w:w="1238" w:type="dxa"/>
          </w:tcPr>
          <w:p>
            <w:pPr>
              <w:pStyle w:val="TableParagraph"/>
              <w:spacing w:before="1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6" w:lineRule="exact" w:before="1"/>
              <w:ind w:right="140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41.667</w:t>
            </w:r>
          </w:p>
        </w:tc>
        <w:tc>
          <w:tcPr>
            <w:tcW w:w="1233" w:type="dxa"/>
          </w:tcPr>
          <w:p>
            <w:pPr>
              <w:pStyle w:val="TableParagraph"/>
              <w:spacing w:before="1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6" w:lineRule="exact" w:before="1"/>
              <w:ind w:right="17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43.483</w:t>
            </w:r>
          </w:p>
        </w:tc>
        <w:tc>
          <w:tcPr>
            <w:tcW w:w="1117" w:type="dxa"/>
          </w:tcPr>
          <w:p>
            <w:pPr>
              <w:pStyle w:val="TableParagraph"/>
              <w:spacing w:before="1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6" w:lineRule="exact" w:before="1"/>
              <w:ind w:right="9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44.112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before="1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line="186" w:lineRule="exact" w:before="1"/>
              <w:ind w:left="616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45.851</w:t>
            </w:r>
          </w:p>
        </w:tc>
        <w:tc>
          <w:tcPr>
            <w:tcW w:w="961" w:type="dxa"/>
          </w:tcPr>
          <w:p>
            <w:pPr>
              <w:pStyle w:val="TableParagraph"/>
              <w:spacing w:line="196" w:lineRule="exact" w:before="185"/>
              <w:ind w:right="40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11,8%</w:t>
            </w:r>
          </w:p>
        </w:tc>
      </w:tr>
      <w:tr>
        <w:trPr>
          <w:trHeight w:val="216" w:hRule="atLeast"/>
        </w:trPr>
        <w:tc>
          <w:tcPr>
            <w:tcW w:w="3809" w:type="dxa"/>
          </w:tcPr>
          <w:p>
            <w:pPr>
              <w:pStyle w:val="TableParagraph"/>
              <w:spacing w:line="186" w:lineRule="exact" w:before="9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Χρεόγραφα</w:t>
            </w:r>
          </w:p>
        </w:tc>
        <w:tc>
          <w:tcPr>
            <w:tcW w:w="1130" w:type="dxa"/>
          </w:tcPr>
          <w:p>
            <w:pPr>
              <w:pStyle w:val="TableParagraph"/>
              <w:spacing w:line="186" w:lineRule="exact" w:before="9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17.232</w:t>
            </w:r>
          </w:p>
        </w:tc>
        <w:tc>
          <w:tcPr>
            <w:tcW w:w="1238" w:type="dxa"/>
          </w:tcPr>
          <w:p>
            <w:pPr>
              <w:pStyle w:val="TableParagraph"/>
              <w:spacing w:line="186" w:lineRule="exact" w:before="9"/>
              <w:ind w:right="140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17.160</w:t>
            </w:r>
          </w:p>
        </w:tc>
        <w:tc>
          <w:tcPr>
            <w:tcW w:w="1233" w:type="dxa"/>
          </w:tcPr>
          <w:p>
            <w:pPr>
              <w:pStyle w:val="TableParagraph"/>
              <w:spacing w:line="186" w:lineRule="exact" w:before="9"/>
              <w:ind w:right="17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17.675</w:t>
            </w:r>
          </w:p>
        </w:tc>
        <w:tc>
          <w:tcPr>
            <w:tcW w:w="1117" w:type="dxa"/>
          </w:tcPr>
          <w:p>
            <w:pPr>
              <w:pStyle w:val="TableParagraph"/>
              <w:spacing w:line="186" w:lineRule="exact" w:before="9"/>
              <w:ind w:right="9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18.169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6" w:lineRule="exact" w:before="9"/>
              <w:ind w:left="61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19.274</w:t>
            </w:r>
          </w:p>
        </w:tc>
        <w:tc>
          <w:tcPr>
            <w:tcW w:w="961" w:type="dxa"/>
          </w:tcPr>
          <w:p>
            <w:pPr>
              <w:pStyle w:val="TableParagraph"/>
              <w:spacing w:line="196" w:lineRule="exact"/>
              <w:ind w:right="40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11,8%</w:t>
            </w:r>
          </w:p>
        </w:tc>
      </w:tr>
      <w:tr>
        <w:trPr>
          <w:trHeight w:val="215" w:hRule="atLeast"/>
        </w:trPr>
        <w:tc>
          <w:tcPr>
            <w:tcW w:w="3809" w:type="dxa"/>
          </w:tcPr>
          <w:p>
            <w:pPr>
              <w:pStyle w:val="TableParagraph"/>
              <w:spacing w:line="186" w:lineRule="exact" w:before="9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Καταθέσεις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6" w:lineRule="exact" w:before="9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51.306</w:t>
            </w:r>
          </w:p>
        </w:tc>
        <w:tc>
          <w:tcPr>
            <w:tcW w:w="1238" w:type="dxa"/>
          </w:tcPr>
          <w:p>
            <w:pPr>
              <w:pStyle w:val="TableParagraph"/>
              <w:spacing w:line="186" w:lineRule="exact" w:before="9"/>
              <w:ind w:right="140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52.884</w:t>
            </w:r>
          </w:p>
        </w:tc>
        <w:tc>
          <w:tcPr>
            <w:tcW w:w="1233" w:type="dxa"/>
          </w:tcPr>
          <w:p>
            <w:pPr>
              <w:pStyle w:val="TableParagraph"/>
              <w:spacing w:line="186" w:lineRule="exact" w:before="9"/>
              <w:ind w:right="17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55.084</w:t>
            </w:r>
          </w:p>
        </w:tc>
        <w:tc>
          <w:tcPr>
            <w:tcW w:w="1117" w:type="dxa"/>
          </w:tcPr>
          <w:p>
            <w:pPr>
              <w:pStyle w:val="TableParagraph"/>
              <w:spacing w:line="186" w:lineRule="exact" w:before="9"/>
              <w:ind w:right="9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55.410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6" w:lineRule="exact" w:before="9"/>
              <w:ind w:left="618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58.467</w:t>
            </w:r>
          </w:p>
        </w:tc>
        <w:tc>
          <w:tcPr>
            <w:tcW w:w="961" w:type="dxa"/>
          </w:tcPr>
          <w:p>
            <w:pPr>
              <w:pStyle w:val="TableParagraph"/>
              <w:spacing w:line="196" w:lineRule="exact"/>
              <w:ind w:right="40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14,0%</w:t>
            </w:r>
          </w:p>
        </w:tc>
      </w:tr>
      <w:tr>
        <w:trPr>
          <w:trHeight w:val="216" w:hRule="atLeast"/>
        </w:trPr>
        <w:tc>
          <w:tcPr>
            <w:tcW w:w="3809" w:type="dxa"/>
          </w:tcPr>
          <w:p>
            <w:pPr>
              <w:pStyle w:val="TableParagraph"/>
              <w:spacing w:line="186" w:lineRule="exact" w:before="9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Καθαρή </w:t>
            </w:r>
            <w:r>
              <w:rPr>
                <w:spacing w:val="-4"/>
                <w:sz w:val="16"/>
              </w:rPr>
              <w:t>Θέση</w:t>
            </w:r>
          </w:p>
        </w:tc>
        <w:tc>
          <w:tcPr>
            <w:tcW w:w="1130" w:type="dxa"/>
          </w:tcPr>
          <w:p>
            <w:pPr>
              <w:pStyle w:val="TableParagraph"/>
              <w:spacing w:line="186" w:lineRule="exact" w:before="9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7.932</w:t>
            </w:r>
          </w:p>
        </w:tc>
        <w:tc>
          <w:tcPr>
            <w:tcW w:w="1238" w:type="dxa"/>
          </w:tcPr>
          <w:p>
            <w:pPr>
              <w:pStyle w:val="TableParagraph"/>
              <w:spacing w:line="186" w:lineRule="exact" w:before="9"/>
              <w:ind w:right="140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8.053</w:t>
            </w:r>
          </w:p>
        </w:tc>
        <w:tc>
          <w:tcPr>
            <w:tcW w:w="1233" w:type="dxa"/>
          </w:tcPr>
          <w:p>
            <w:pPr>
              <w:pStyle w:val="TableParagraph"/>
              <w:spacing w:line="186" w:lineRule="exact" w:before="9"/>
              <w:ind w:right="17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8.105</w:t>
            </w:r>
          </w:p>
        </w:tc>
        <w:tc>
          <w:tcPr>
            <w:tcW w:w="1117" w:type="dxa"/>
          </w:tcPr>
          <w:p>
            <w:pPr>
              <w:pStyle w:val="TableParagraph"/>
              <w:spacing w:line="186" w:lineRule="exact" w:before="9"/>
              <w:ind w:right="9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8.162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6" w:lineRule="exact" w:before="9"/>
              <w:ind w:left="707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8.330</w:t>
            </w:r>
          </w:p>
        </w:tc>
        <w:tc>
          <w:tcPr>
            <w:tcW w:w="961" w:type="dxa"/>
          </w:tcPr>
          <w:p>
            <w:pPr>
              <w:pStyle w:val="TableParagraph"/>
              <w:spacing w:line="196" w:lineRule="exact"/>
              <w:ind w:right="40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5,0%</w:t>
            </w:r>
          </w:p>
        </w:tc>
      </w:tr>
      <w:tr>
        <w:trPr>
          <w:trHeight w:val="211" w:hRule="atLeast"/>
        </w:trPr>
        <w:tc>
          <w:tcPr>
            <w:tcW w:w="3809" w:type="dxa"/>
          </w:tcPr>
          <w:p>
            <w:pPr>
              <w:pStyle w:val="TableParagraph"/>
              <w:spacing w:line="182" w:lineRule="exact" w:before="9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Ενσώματη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Καθαρή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6"/>
                <w:sz w:val="16"/>
              </w:rPr>
              <w:t>Θέση</w:t>
            </w:r>
          </w:p>
        </w:tc>
        <w:tc>
          <w:tcPr>
            <w:tcW w:w="1130" w:type="dxa"/>
          </w:tcPr>
          <w:p>
            <w:pPr>
              <w:pStyle w:val="TableParagraph"/>
              <w:spacing w:line="182" w:lineRule="exact" w:before="9"/>
              <w:ind w:right="100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7.536</w:t>
            </w:r>
          </w:p>
        </w:tc>
        <w:tc>
          <w:tcPr>
            <w:tcW w:w="1238" w:type="dxa"/>
          </w:tcPr>
          <w:p>
            <w:pPr>
              <w:pStyle w:val="TableParagraph"/>
              <w:spacing w:line="182" w:lineRule="exact" w:before="9"/>
              <w:ind w:right="140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7.625</w:t>
            </w:r>
          </w:p>
        </w:tc>
        <w:tc>
          <w:tcPr>
            <w:tcW w:w="1233" w:type="dxa"/>
          </w:tcPr>
          <w:p>
            <w:pPr>
              <w:pStyle w:val="TableParagraph"/>
              <w:spacing w:line="182" w:lineRule="exact" w:before="9"/>
              <w:ind w:right="17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7.589</w:t>
            </w:r>
          </w:p>
        </w:tc>
        <w:tc>
          <w:tcPr>
            <w:tcW w:w="1117" w:type="dxa"/>
          </w:tcPr>
          <w:p>
            <w:pPr>
              <w:pStyle w:val="TableParagraph"/>
              <w:spacing w:line="182" w:lineRule="exact" w:before="9"/>
              <w:ind w:right="9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7.654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2" w:lineRule="exact" w:before="9"/>
              <w:ind w:left="707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7.773</w:t>
            </w:r>
          </w:p>
        </w:tc>
        <w:tc>
          <w:tcPr>
            <w:tcW w:w="961" w:type="dxa"/>
          </w:tcPr>
          <w:p>
            <w:pPr>
              <w:pStyle w:val="TableParagraph"/>
              <w:spacing w:line="191" w:lineRule="exact"/>
              <w:ind w:right="40"/>
              <w:jc w:val="right"/>
              <w:rPr>
                <w:i/>
                <w:sz w:val="17"/>
              </w:rPr>
            </w:pPr>
            <w:r>
              <w:rPr>
                <w:i/>
                <w:spacing w:val="-4"/>
                <w:w w:val="90"/>
                <w:sz w:val="17"/>
              </w:rPr>
              <w:t>3,1%</w:t>
            </w:r>
          </w:p>
        </w:tc>
      </w:tr>
      <w:tr>
        <w:trPr>
          <w:trHeight w:val="218" w:hRule="atLeast"/>
        </w:trPr>
        <w:tc>
          <w:tcPr>
            <w:tcW w:w="38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34" w:hRule="atLeast"/>
        </w:trPr>
        <w:tc>
          <w:tcPr>
            <w:tcW w:w="3809" w:type="dxa"/>
          </w:tcPr>
          <w:p>
            <w:pPr>
              <w:pStyle w:val="TableParagraph"/>
              <w:spacing w:before="130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72E"/>
                <w:w w:val="95"/>
                <w:sz w:val="16"/>
              </w:rPr>
              <w:t>Κύριοι</w:t>
            </w:r>
            <w:r>
              <w:rPr>
                <w:rFonts w:ascii="Tahoma" w:hAnsi="Tahoma"/>
                <w:b/>
                <w:color w:val="E2872E"/>
                <w:spacing w:val="-9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color w:val="E2872E"/>
                <w:w w:val="95"/>
                <w:sz w:val="16"/>
              </w:rPr>
              <w:t>Δείκτες</w:t>
            </w:r>
            <w:r>
              <w:rPr>
                <w:rFonts w:ascii="Tahoma" w:hAnsi="Tahoma"/>
                <w:b/>
                <w:color w:val="E2872E"/>
                <w:spacing w:val="-8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color w:val="E2872E"/>
                <w:w w:val="80"/>
                <w:sz w:val="16"/>
              </w:rPr>
              <w:t>|</w:t>
            </w:r>
            <w:r>
              <w:rPr>
                <w:rFonts w:ascii="Tahoma" w:hAnsi="Tahoma"/>
                <w:b/>
                <w:color w:val="E2872E"/>
                <w:spacing w:val="-6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color w:val="E2872E"/>
                <w:spacing w:val="-2"/>
                <w:w w:val="95"/>
                <w:sz w:val="16"/>
              </w:rPr>
              <w:t>Όμιλος</w:t>
            </w:r>
          </w:p>
        </w:tc>
        <w:tc>
          <w:tcPr>
            <w:tcW w:w="1130" w:type="dxa"/>
          </w:tcPr>
          <w:p>
            <w:pPr>
              <w:pStyle w:val="TableParagraph"/>
              <w:spacing w:before="130"/>
              <w:ind w:right="100"/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72E"/>
                <w:sz w:val="16"/>
              </w:rPr>
              <w:t>Α’</w:t>
            </w:r>
            <w:r>
              <w:rPr>
                <w:rFonts w:ascii="Tahoma" w:hAnsi="Tahoma"/>
                <w:b/>
                <w:color w:val="E2872E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2872E"/>
                <w:spacing w:val="-2"/>
                <w:sz w:val="16"/>
              </w:rPr>
              <w:t>Εξάμηνο</w:t>
            </w:r>
          </w:p>
          <w:p>
            <w:pPr>
              <w:pStyle w:val="TableParagraph"/>
              <w:spacing w:line="185" w:lineRule="exact" w:before="6"/>
              <w:ind w:right="102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spacing w:val="-4"/>
                <w:w w:val="95"/>
                <w:sz w:val="16"/>
              </w:rPr>
              <w:t>2025</w:t>
            </w:r>
          </w:p>
        </w:tc>
        <w:tc>
          <w:tcPr>
            <w:tcW w:w="1238" w:type="dxa"/>
          </w:tcPr>
          <w:p>
            <w:pPr>
              <w:pStyle w:val="TableParagraph"/>
              <w:spacing w:before="130"/>
              <w:ind w:right="138"/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72E"/>
                <w:spacing w:val="-2"/>
                <w:sz w:val="16"/>
              </w:rPr>
              <w:t>Εννεάμηνο</w:t>
            </w:r>
          </w:p>
          <w:p>
            <w:pPr>
              <w:pStyle w:val="TableParagraph"/>
              <w:spacing w:line="185" w:lineRule="exact" w:before="6"/>
              <w:ind w:right="140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spacing w:val="-4"/>
                <w:w w:val="95"/>
                <w:sz w:val="16"/>
              </w:rPr>
              <w:t>2025</w:t>
            </w:r>
          </w:p>
        </w:tc>
        <w:tc>
          <w:tcPr>
            <w:tcW w:w="1233" w:type="dxa"/>
          </w:tcPr>
          <w:p>
            <w:pPr>
              <w:pStyle w:val="TableParagraph"/>
              <w:spacing w:before="130"/>
              <w:ind w:right="175"/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72E"/>
                <w:spacing w:val="-6"/>
                <w:sz w:val="16"/>
              </w:rPr>
              <w:t>Έτος </w:t>
            </w:r>
            <w:r>
              <w:rPr>
                <w:rFonts w:ascii="Tahoma" w:hAnsi="Tahoma"/>
                <w:b/>
                <w:color w:val="E2872E"/>
                <w:spacing w:val="-4"/>
                <w:sz w:val="16"/>
              </w:rPr>
              <w:t>2025</w:t>
            </w:r>
          </w:p>
        </w:tc>
        <w:tc>
          <w:tcPr>
            <w:tcW w:w="1117" w:type="dxa"/>
          </w:tcPr>
          <w:p>
            <w:pPr>
              <w:pStyle w:val="TableParagraph"/>
              <w:spacing w:before="130"/>
              <w:ind w:right="95"/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72E"/>
                <w:sz w:val="16"/>
              </w:rPr>
              <w:t>Α’</w:t>
            </w:r>
            <w:r>
              <w:rPr>
                <w:rFonts w:ascii="Tahoma" w:hAnsi="Tahoma"/>
                <w:b/>
                <w:color w:val="E2872E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2872E"/>
                <w:spacing w:val="-2"/>
                <w:sz w:val="16"/>
              </w:rPr>
              <w:t>Τρίμηνο</w:t>
            </w:r>
          </w:p>
          <w:p>
            <w:pPr>
              <w:pStyle w:val="TableParagraph"/>
              <w:spacing w:line="185" w:lineRule="exact" w:before="6"/>
              <w:ind w:right="96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spacing w:val="-4"/>
                <w:w w:val="95"/>
                <w:sz w:val="16"/>
              </w:rPr>
              <w:t>2026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before="130"/>
              <w:ind w:right="223"/>
              <w:jc w:val="right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72E"/>
                <w:sz w:val="16"/>
              </w:rPr>
              <w:t>Α’</w:t>
            </w:r>
            <w:r>
              <w:rPr>
                <w:rFonts w:ascii="Tahoma" w:hAnsi="Tahoma"/>
                <w:b/>
                <w:color w:val="E2872E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2872E"/>
                <w:spacing w:val="-2"/>
                <w:sz w:val="16"/>
              </w:rPr>
              <w:t>Εξάμηνο</w:t>
            </w:r>
          </w:p>
          <w:p>
            <w:pPr>
              <w:pStyle w:val="TableParagraph"/>
              <w:spacing w:line="185" w:lineRule="exact" w:before="6"/>
              <w:ind w:right="224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72E"/>
                <w:spacing w:val="-4"/>
                <w:w w:val="95"/>
                <w:sz w:val="16"/>
              </w:rPr>
              <w:t>2026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4" w:hRule="atLeast"/>
        </w:trPr>
        <w:tc>
          <w:tcPr>
            <w:tcW w:w="3809" w:type="dxa"/>
          </w:tcPr>
          <w:p>
            <w:pPr>
              <w:pStyle w:val="TableParagraph"/>
              <w:spacing w:line="180" w:lineRule="exact" w:before="3"/>
              <w:ind w:left="95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2"/>
                <w:sz w:val="16"/>
              </w:rPr>
              <w:t>Κερδοφορία</w:t>
            </w:r>
          </w:p>
        </w:tc>
        <w:tc>
          <w:tcPr>
            <w:tcW w:w="11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09" w:type="dxa"/>
          </w:tcPr>
          <w:p>
            <w:pPr>
              <w:pStyle w:val="TableParagraph"/>
              <w:spacing w:line="179" w:lineRule="exact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Καθαρό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Έσοδο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Τόκων/Μέσο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6"/>
                <w:sz w:val="16"/>
              </w:rPr>
              <w:t>Ενεργητικό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6"/>
                <w:sz w:val="16"/>
              </w:rPr>
              <w:t>(NΙM)</w:t>
            </w:r>
          </w:p>
        </w:tc>
        <w:tc>
          <w:tcPr>
            <w:tcW w:w="1130" w:type="dxa"/>
          </w:tcPr>
          <w:p>
            <w:pPr>
              <w:pStyle w:val="TableParagraph"/>
              <w:spacing w:line="179" w:lineRule="exact"/>
              <w:ind w:right="102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2,2%</w:t>
            </w:r>
          </w:p>
        </w:tc>
        <w:tc>
          <w:tcPr>
            <w:tcW w:w="1238" w:type="dxa"/>
          </w:tcPr>
          <w:p>
            <w:pPr>
              <w:pStyle w:val="TableParagraph"/>
              <w:spacing w:line="179" w:lineRule="exact"/>
              <w:ind w:right="101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2,2%</w:t>
            </w:r>
          </w:p>
        </w:tc>
        <w:tc>
          <w:tcPr>
            <w:tcW w:w="1233" w:type="dxa"/>
          </w:tcPr>
          <w:p>
            <w:pPr>
              <w:pStyle w:val="TableParagraph"/>
              <w:spacing w:line="179" w:lineRule="exact"/>
              <w:ind w:right="177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2,2%</w:t>
            </w:r>
          </w:p>
        </w:tc>
        <w:tc>
          <w:tcPr>
            <w:tcW w:w="1117" w:type="dxa"/>
          </w:tcPr>
          <w:p>
            <w:pPr>
              <w:pStyle w:val="TableParagraph"/>
              <w:spacing w:line="179" w:lineRule="exact"/>
              <w:ind w:right="96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2,1%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79" w:lineRule="exact"/>
              <w:ind w:right="94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2,2%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3809" w:type="dxa"/>
          </w:tcPr>
          <w:p>
            <w:pPr>
              <w:pStyle w:val="TableParagraph"/>
              <w:spacing w:line="179" w:lineRule="exact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Δείκτης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6"/>
                <w:sz w:val="16"/>
              </w:rPr>
              <w:t>Εξόδων προς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Έσοδα</w:t>
            </w:r>
          </w:p>
        </w:tc>
        <w:tc>
          <w:tcPr>
            <w:tcW w:w="1130" w:type="dxa"/>
          </w:tcPr>
          <w:p>
            <w:pPr>
              <w:pStyle w:val="TableParagraph"/>
              <w:spacing w:line="179" w:lineRule="exact"/>
              <w:ind w:right="102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37,1%</w:t>
            </w:r>
          </w:p>
        </w:tc>
        <w:tc>
          <w:tcPr>
            <w:tcW w:w="1238" w:type="dxa"/>
          </w:tcPr>
          <w:p>
            <w:pPr>
              <w:pStyle w:val="TableParagraph"/>
              <w:spacing w:line="179" w:lineRule="exact"/>
              <w:ind w:right="101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38,3%</w:t>
            </w:r>
          </w:p>
        </w:tc>
        <w:tc>
          <w:tcPr>
            <w:tcW w:w="1233" w:type="dxa"/>
          </w:tcPr>
          <w:p>
            <w:pPr>
              <w:pStyle w:val="TableParagraph"/>
              <w:spacing w:line="179" w:lineRule="exact"/>
              <w:ind w:right="177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38,7%</w:t>
            </w:r>
          </w:p>
        </w:tc>
        <w:tc>
          <w:tcPr>
            <w:tcW w:w="1117" w:type="dxa"/>
          </w:tcPr>
          <w:p>
            <w:pPr>
              <w:pStyle w:val="TableParagraph"/>
              <w:spacing w:line="179" w:lineRule="exact"/>
              <w:ind w:right="96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38,9%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79" w:lineRule="exact"/>
              <w:ind w:right="94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38,5%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6" w:hRule="atLeast"/>
        </w:trPr>
        <w:tc>
          <w:tcPr>
            <w:tcW w:w="3809" w:type="dxa"/>
          </w:tcPr>
          <w:p>
            <w:pPr>
              <w:pStyle w:val="TableParagraph"/>
              <w:spacing w:line="192" w:lineRule="exact"/>
              <w:ind w:left="95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2"/>
                <w:sz w:val="16"/>
              </w:rPr>
              <w:t>Κεφαλαιακή</w:t>
            </w:r>
            <w:r>
              <w:rPr>
                <w:rFonts w:ascii="Tahoma" w:hAnsi="Tahoma"/>
                <w:b/>
                <w:spacing w:val="-7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sz w:val="16"/>
              </w:rPr>
              <w:t>Επάρκεια</w:t>
            </w:r>
          </w:p>
        </w:tc>
        <w:tc>
          <w:tcPr>
            <w:tcW w:w="113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7" w:hRule="atLeast"/>
        </w:trPr>
        <w:tc>
          <w:tcPr>
            <w:tcW w:w="3809" w:type="dxa"/>
          </w:tcPr>
          <w:p>
            <w:pPr>
              <w:pStyle w:val="TableParagraph"/>
              <w:spacing w:line="182" w:lineRule="exact" w:before="15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Δείκτης</w:t>
            </w:r>
            <w:r>
              <w:rPr>
                <w:spacing w:val="-4"/>
                <w:sz w:val="16"/>
              </w:rPr>
              <w:t> CET1</w:t>
            </w:r>
          </w:p>
        </w:tc>
        <w:tc>
          <w:tcPr>
            <w:tcW w:w="1130" w:type="dxa"/>
          </w:tcPr>
          <w:p>
            <w:pPr>
              <w:pStyle w:val="TableParagraph"/>
              <w:spacing w:line="182" w:lineRule="exact" w:before="15"/>
              <w:ind w:right="102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16,1%</w:t>
            </w:r>
          </w:p>
        </w:tc>
        <w:tc>
          <w:tcPr>
            <w:tcW w:w="1238" w:type="dxa"/>
          </w:tcPr>
          <w:p>
            <w:pPr>
              <w:pStyle w:val="TableParagraph"/>
              <w:spacing w:line="182" w:lineRule="exact" w:before="15"/>
              <w:ind w:right="101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16,0%</w:t>
            </w:r>
          </w:p>
        </w:tc>
        <w:tc>
          <w:tcPr>
            <w:tcW w:w="1233" w:type="dxa"/>
          </w:tcPr>
          <w:p>
            <w:pPr>
              <w:pStyle w:val="TableParagraph"/>
              <w:spacing w:line="182" w:lineRule="exact" w:before="15"/>
              <w:ind w:right="177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15,4%</w:t>
            </w:r>
          </w:p>
        </w:tc>
        <w:tc>
          <w:tcPr>
            <w:tcW w:w="1117" w:type="dxa"/>
          </w:tcPr>
          <w:p>
            <w:pPr>
              <w:pStyle w:val="TableParagraph"/>
              <w:spacing w:line="182" w:lineRule="exact" w:before="15"/>
              <w:ind w:right="96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15,0%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2" w:lineRule="exact" w:before="15"/>
              <w:ind w:right="94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14,3%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3809" w:type="dxa"/>
          </w:tcPr>
          <w:p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w w:val="90"/>
                <w:sz w:val="16"/>
              </w:rPr>
              <w:t>Συνολικός</w:t>
            </w:r>
            <w:r>
              <w:rPr>
                <w:spacing w:val="20"/>
                <w:sz w:val="16"/>
              </w:rPr>
              <w:t> </w:t>
            </w:r>
            <w:r>
              <w:rPr>
                <w:w w:val="90"/>
                <w:sz w:val="16"/>
              </w:rPr>
              <w:t>Δείκτης</w:t>
            </w:r>
            <w:r>
              <w:rPr>
                <w:spacing w:val="20"/>
                <w:sz w:val="16"/>
              </w:rPr>
              <w:t> </w:t>
            </w:r>
            <w:r>
              <w:rPr>
                <w:w w:val="90"/>
                <w:sz w:val="16"/>
              </w:rPr>
              <w:t>Κεφαλαιακής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w w:val="90"/>
                <w:sz w:val="16"/>
              </w:rPr>
              <w:t>Επάρκειας</w:t>
            </w:r>
          </w:p>
        </w:tc>
        <w:tc>
          <w:tcPr>
            <w:tcW w:w="1130" w:type="dxa"/>
          </w:tcPr>
          <w:p>
            <w:pPr>
              <w:pStyle w:val="TableParagraph"/>
              <w:spacing w:line="182" w:lineRule="exact"/>
              <w:ind w:right="102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21,7%</w:t>
            </w:r>
          </w:p>
        </w:tc>
        <w:tc>
          <w:tcPr>
            <w:tcW w:w="1238" w:type="dxa"/>
          </w:tcPr>
          <w:p>
            <w:pPr>
              <w:pStyle w:val="TableParagraph"/>
              <w:spacing w:line="182" w:lineRule="exact"/>
              <w:ind w:right="101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21,5%</w:t>
            </w:r>
          </w:p>
        </w:tc>
        <w:tc>
          <w:tcPr>
            <w:tcW w:w="1233" w:type="dxa"/>
          </w:tcPr>
          <w:p>
            <w:pPr>
              <w:pStyle w:val="TableParagraph"/>
              <w:spacing w:line="182" w:lineRule="exact"/>
              <w:ind w:right="177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20,6%</w:t>
            </w:r>
          </w:p>
        </w:tc>
        <w:tc>
          <w:tcPr>
            <w:tcW w:w="1117" w:type="dxa"/>
          </w:tcPr>
          <w:p>
            <w:pPr>
              <w:pStyle w:val="TableParagraph"/>
              <w:spacing w:line="182" w:lineRule="exact"/>
              <w:ind w:right="96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20,1%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2" w:lineRule="exact"/>
              <w:ind w:right="94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19,3%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3809" w:type="dxa"/>
          </w:tcPr>
          <w:p>
            <w:pPr>
              <w:pStyle w:val="TableParagraph"/>
              <w:spacing w:line="180" w:lineRule="exact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2"/>
                <w:sz w:val="16"/>
              </w:rPr>
              <w:t>Ρευστότητα</w:t>
            </w:r>
          </w:p>
        </w:tc>
        <w:tc>
          <w:tcPr>
            <w:tcW w:w="1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3809" w:type="dxa"/>
          </w:tcPr>
          <w:p>
            <w:pPr>
              <w:pStyle w:val="TableParagraph"/>
              <w:spacing w:line="179" w:lineRule="exact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Δείκτης</w:t>
            </w:r>
            <w:r>
              <w:rPr>
                <w:sz w:val="16"/>
              </w:rPr>
              <w:t> </w:t>
            </w:r>
            <w:r>
              <w:rPr>
                <w:spacing w:val="-6"/>
                <w:sz w:val="16"/>
              </w:rPr>
              <w:t>Δάνεια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6"/>
                <w:sz w:val="16"/>
              </w:rPr>
              <w:t>προς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6"/>
                <w:sz w:val="16"/>
              </w:rPr>
              <w:t>Καταθέσεις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6"/>
                <w:sz w:val="16"/>
              </w:rPr>
              <w:t>(LDR)</w:t>
            </w:r>
          </w:p>
        </w:tc>
        <w:tc>
          <w:tcPr>
            <w:tcW w:w="1130" w:type="dxa"/>
          </w:tcPr>
          <w:p>
            <w:pPr>
              <w:pStyle w:val="TableParagraph"/>
              <w:spacing w:line="179" w:lineRule="exact"/>
              <w:ind w:right="102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80%</w:t>
            </w:r>
          </w:p>
        </w:tc>
        <w:tc>
          <w:tcPr>
            <w:tcW w:w="1238" w:type="dxa"/>
          </w:tcPr>
          <w:p>
            <w:pPr>
              <w:pStyle w:val="TableParagraph"/>
              <w:spacing w:line="179" w:lineRule="exact"/>
              <w:ind w:right="101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79%</w:t>
            </w:r>
          </w:p>
        </w:tc>
        <w:tc>
          <w:tcPr>
            <w:tcW w:w="1233" w:type="dxa"/>
          </w:tcPr>
          <w:p>
            <w:pPr>
              <w:pStyle w:val="TableParagraph"/>
              <w:spacing w:line="179" w:lineRule="exact"/>
              <w:ind w:right="177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79%</w:t>
            </w:r>
          </w:p>
        </w:tc>
        <w:tc>
          <w:tcPr>
            <w:tcW w:w="1117" w:type="dxa"/>
          </w:tcPr>
          <w:p>
            <w:pPr>
              <w:pStyle w:val="TableParagraph"/>
              <w:spacing w:line="179" w:lineRule="exact"/>
              <w:ind w:right="96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80%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79" w:lineRule="exact"/>
              <w:ind w:right="94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78%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3809" w:type="dxa"/>
          </w:tcPr>
          <w:p>
            <w:pPr>
              <w:pStyle w:val="TableParagraph"/>
              <w:spacing w:line="179" w:lineRule="exact"/>
              <w:ind w:left="100"/>
              <w:rPr>
                <w:sz w:val="16"/>
              </w:rPr>
            </w:pPr>
            <w:r>
              <w:rPr>
                <w:w w:val="90"/>
                <w:sz w:val="16"/>
              </w:rPr>
              <w:t>Δείκτης</w:t>
            </w:r>
            <w:r>
              <w:rPr>
                <w:spacing w:val="13"/>
                <w:sz w:val="16"/>
              </w:rPr>
              <w:t> </w:t>
            </w:r>
            <w:r>
              <w:rPr>
                <w:w w:val="90"/>
                <w:sz w:val="16"/>
              </w:rPr>
              <w:t>Κάλυψης</w:t>
            </w:r>
            <w:r>
              <w:rPr>
                <w:spacing w:val="14"/>
                <w:sz w:val="16"/>
              </w:rPr>
              <w:t> </w:t>
            </w:r>
            <w:r>
              <w:rPr>
                <w:w w:val="90"/>
                <w:sz w:val="16"/>
              </w:rPr>
              <w:t>Ρευστότητας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w w:val="90"/>
                <w:sz w:val="16"/>
              </w:rPr>
              <w:t>(LCR)</w:t>
            </w:r>
          </w:p>
        </w:tc>
        <w:tc>
          <w:tcPr>
            <w:tcW w:w="1130" w:type="dxa"/>
          </w:tcPr>
          <w:p>
            <w:pPr>
              <w:pStyle w:val="TableParagraph"/>
              <w:spacing w:line="179" w:lineRule="exact"/>
              <w:ind w:right="104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194%</w:t>
            </w:r>
          </w:p>
        </w:tc>
        <w:tc>
          <w:tcPr>
            <w:tcW w:w="1238" w:type="dxa"/>
          </w:tcPr>
          <w:p>
            <w:pPr>
              <w:pStyle w:val="TableParagraph"/>
              <w:spacing w:line="179" w:lineRule="exact"/>
              <w:ind w:right="103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195%</w:t>
            </w:r>
          </w:p>
        </w:tc>
        <w:tc>
          <w:tcPr>
            <w:tcW w:w="1233" w:type="dxa"/>
          </w:tcPr>
          <w:p>
            <w:pPr>
              <w:pStyle w:val="TableParagraph"/>
              <w:spacing w:line="179" w:lineRule="exact"/>
              <w:ind w:right="179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184%</w:t>
            </w:r>
          </w:p>
        </w:tc>
        <w:tc>
          <w:tcPr>
            <w:tcW w:w="1117" w:type="dxa"/>
          </w:tcPr>
          <w:p>
            <w:pPr>
              <w:pStyle w:val="TableParagraph"/>
              <w:spacing w:line="179" w:lineRule="exact"/>
              <w:ind w:right="98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176%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79" w:lineRule="exact"/>
              <w:ind w:right="97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197%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3809" w:type="dxa"/>
          </w:tcPr>
          <w:p>
            <w:pPr>
              <w:pStyle w:val="TableParagraph"/>
              <w:spacing w:line="179" w:lineRule="exact"/>
              <w:ind w:left="10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pacing w:val="-2"/>
                <w:sz w:val="16"/>
              </w:rPr>
              <w:t>Ποιότητα</w:t>
            </w:r>
            <w:r>
              <w:rPr>
                <w:rFonts w:ascii="Tahoma" w:hAnsi="Tahoma"/>
                <w:b/>
                <w:spacing w:val="-10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sz w:val="16"/>
              </w:rPr>
              <w:t>Δανειακού</w:t>
            </w:r>
            <w:r>
              <w:rPr>
                <w:rFonts w:ascii="Tahoma" w:hAnsi="Tahoma"/>
                <w:b/>
                <w:spacing w:val="-9"/>
                <w:sz w:val="16"/>
              </w:rPr>
              <w:t> </w:t>
            </w:r>
            <w:r>
              <w:rPr>
                <w:rFonts w:ascii="Tahoma" w:hAnsi="Tahoma"/>
                <w:b/>
                <w:spacing w:val="-2"/>
                <w:sz w:val="16"/>
              </w:rPr>
              <w:t>Χαρτοφυλακίου</w:t>
            </w:r>
          </w:p>
        </w:tc>
        <w:tc>
          <w:tcPr>
            <w:tcW w:w="11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3809" w:type="dxa"/>
          </w:tcPr>
          <w:p>
            <w:pPr>
              <w:pStyle w:val="TableParagraph"/>
              <w:spacing w:line="179" w:lineRule="exact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Μη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6"/>
                <w:sz w:val="16"/>
              </w:rPr>
              <w:t>Εξυπηρετούμενα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6"/>
                <w:sz w:val="16"/>
              </w:rPr>
              <w:t>Δάνεια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6"/>
                <w:sz w:val="16"/>
              </w:rPr>
              <w:t>(ΜΕΔ)</w:t>
            </w:r>
          </w:p>
        </w:tc>
        <w:tc>
          <w:tcPr>
            <w:tcW w:w="1130" w:type="dxa"/>
          </w:tcPr>
          <w:p>
            <w:pPr>
              <w:pStyle w:val="TableParagraph"/>
              <w:spacing w:line="179" w:lineRule="exact"/>
              <w:ind w:right="102"/>
              <w:jc w:val="right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944</w:t>
            </w:r>
          </w:p>
        </w:tc>
        <w:tc>
          <w:tcPr>
            <w:tcW w:w="1238" w:type="dxa"/>
          </w:tcPr>
          <w:p>
            <w:pPr>
              <w:pStyle w:val="TableParagraph"/>
              <w:spacing w:line="179" w:lineRule="exact"/>
              <w:ind w:right="103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1.017</w:t>
            </w:r>
          </w:p>
        </w:tc>
        <w:tc>
          <w:tcPr>
            <w:tcW w:w="1233" w:type="dxa"/>
          </w:tcPr>
          <w:p>
            <w:pPr>
              <w:pStyle w:val="TableParagraph"/>
              <w:spacing w:line="179" w:lineRule="exact"/>
              <w:ind w:right="17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1.083</w:t>
            </w:r>
          </w:p>
        </w:tc>
        <w:tc>
          <w:tcPr>
            <w:tcW w:w="1117" w:type="dxa"/>
          </w:tcPr>
          <w:p>
            <w:pPr>
              <w:pStyle w:val="TableParagraph"/>
              <w:spacing w:line="179" w:lineRule="exact"/>
              <w:ind w:right="9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1.123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79" w:lineRule="exact"/>
              <w:ind w:right="95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1.147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3809" w:type="dxa"/>
          </w:tcPr>
          <w:p>
            <w:pPr>
              <w:pStyle w:val="TableParagraph"/>
              <w:spacing w:line="179" w:lineRule="exact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Μη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6"/>
                <w:sz w:val="16"/>
              </w:rPr>
              <w:t>Εξυπηρετούμενα</w:t>
            </w:r>
            <w:r>
              <w:rPr>
                <w:sz w:val="16"/>
              </w:rPr>
              <w:t> </w:t>
            </w:r>
            <w:r>
              <w:rPr>
                <w:spacing w:val="-6"/>
                <w:sz w:val="16"/>
              </w:rPr>
              <w:t>Ανοίγματα (MEA)</w:t>
            </w:r>
          </w:p>
        </w:tc>
        <w:tc>
          <w:tcPr>
            <w:tcW w:w="1130" w:type="dxa"/>
          </w:tcPr>
          <w:p>
            <w:pPr>
              <w:pStyle w:val="TableParagraph"/>
              <w:spacing w:line="179" w:lineRule="exact"/>
              <w:ind w:right="102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1.461</w:t>
            </w:r>
          </w:p>
        </w:tc>
        <w:tc>
          <w:tcPr>
            <w:tcW w:w="1238" w:type="dxa"/>
          </w:tcPr>
          <w:p>
            <w:pPr>
              <w:pStyle w:val="TableParagraph"/>
              <w:spacing w:line="179" w:lineRule="exact"/>
              <w:ind w:right="103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1.531</w:t>
            </w:r>
          </w:p>
        </w:tc>
        <w:tc>
          <w:tcPr>
            <w:tcW w:w="1233" w:type="dxa"/>
          </w:tcPr>
          <w:p>
            <w:pPr>
              <w:pStyle w:val="TableParagraph"/>
              <w:spacing w:line="179" w:lineRule="exact"/>
              <w:ind w:right="17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1.586</w:t>
            </w:r>
          </w:p>
        </w:tc>
        <w:tc>
          <w:tcPr>
            <w:tcW w:w="1117" w:type="dxa"/>
          </w:tcPr>
          <w:p>
            <w:pPr>
              <w:pStyle w:val="TableParagraph"/>
              <w:spacing w:line="179" w:lineRule="exact"/>
              <w:ind w:right="9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1.670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79" w:lineRule="exact"/>
              <w:ind w:right="95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1.686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3809" w:type="dxa"/>
          </w:tcPr>
          <w:p>
            <w:pPr>
              <w:pStyle w:val="TableParagraph"/>
              <w:spacing w:line="179" w:lineRule="exact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Δείκτης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Καθυστερήσεων</w:t>
            </w:r>
          </w:p>
        </w:tc>
        <w:tc>
          <w:tcPr>
            <w:tcW w:w="1130" w:type="dxa"/>
          </w:tcPr>
          <w:p>
            <w:pPr>
              <w:pStyle w:val="TableParagraph"/>
              <w:spacing w:line="179" w:lineRule="exact"/>
              <w:ind w:right="102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2,3%</w:t>
            </w:r>
          </w:p>
        </w:tc>
        <w:tc>
          <w:tcPr>
            <w:tcW w:w="1238" w:type="dxa"/>
          </w:tcPr>
          <w:p>
            <w:pPr>
              <w:pStyle w:val="TableParagraph"/>
              <w:spacing w:line="179" w:lineRule="exact"/>
              <w:ind w:right="101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2,4%</w:t>
            </w:r>
          </w:p>
        </w:tc>
        <w:tc>
          <w:tcPr>
            <w:tcW w:w="1233" w:type="dxa"/>
          </w:tcPr>
          <w:p>
            <w:pPr>
              <w:pStyle w:val="TableParagraph"/>
              <w:spacing w:line="179" w:lineRule="exact"/>
              <w:ind w:right="177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2,5%</w:t>
            </w:r>
          </w:p>
        </w:tc>
        <w:tc>
          <w:tcPr>
            <w:tcW w:w="1117" w:type="dxa"/>
          </w:tcPr>
          <w:p>
            <w:pPr>
              <w:pStyle w:val="TableParagraph"/>
              <w:spacing w:line="179" w:lineRule="exact"/>
              <w:ind w:right="96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2,5%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79" w:lineRule="exact"/>
              <w:ind w:right="94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2,5%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3809" w:type="dxa"/>
          </w:tcPr>
          <w:p>
            <w:pPr>
              <w:pStyle w:val="TableParagraph"/>
              <w:spacing w:line="180" w:lineRule="exact"/>
              <w:ind w:left="100"/>
              <w:rPr>
                <w:sz w:val="16"/>
              </w:rPr>
            </w:pPr>
            <w:r>
              <w:rPr>
                <w:spacing w:val="-6"/>
                <w:sz w:val="16"/>
              </w:rPr>
              <w:t>Δείκτης Μη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6"/>
                <w:sz w:val="16"/>
              </w:rPr>
              <w:t>Εξυπηρετούμενων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6"/>
                <w:sz w:val="16"/>
              </w:rPr>
              <w:t>Ανοιγμάτων</w:t>
            </w:r>
          </w:p>
        </w:tc>
        <w:tc>
          <w:tcPr>
            <w:tcW w:w="1130" w:type="dxa"/>
          </w:tcPr>
          <w:p>
            <w:pPr>
              <w:pStyle w:val="TableParagraph"/>
              <w:spacing w:line="180" w:lineRule="exact"/>
              <w:ind w:right="102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3,5%</w:t>
            </w:r>
          </w:p>
        </w:tc>
        <w:tc>
          <w:tcPr>
            <w:tcW w:w="1238" w:type="dxa"/>
          </w:tcPr>
          <w:p>
            <w:pPr>
              <w:pStyle w:val="TableParagraph"/>
              <w:spacing w:line="180" w:lineRule="exact"/>
              <w:ind w:right="101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3,6%</w:t>
            </w:r>
          </w:p>
        </w:tc>
        <w:tc>
          <w:tcPr>
            <w:tcW w:w="1233" w:type="dxa"/>
          </w:tcPr>
          <w:p>
            <w:pPr>
              <w:pStyle w:val="TableParagraph"/>
              <w:spacing w:line="180" w:lineRule="exact"/>
              <w:ind w:right="177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3,6%</w:t>
            </w:r>
          </w:p>
        </w:tc>
        <w:tc>
          <w:tcPr>
            <w:tcW w:w="1117" w:type="dxa"/>
          </w:tcPr>
          <w:p>
            <w:pPr>
              <w:pStyle w:val="TableParagraph"/>
              <w:spacing w:line="180" w:lineRule="exact"/>
              <w:ind w:right="96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3,7%</w:t>
            </w:r>
          </w:p>
        </w:tc>
        <w:tc>
          <w:tcPr>
            <w:tcW w:w="1333" w:type="dxa"/>
            <w:shd w:val="clear" w:color="auto" w:fill="D2DFED"/>
          </w:tcPr>
          <w:p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3,6%</w:t>
            </w:r>
          </w:p>
        </w:tc>
        <w:tc>
          <w:tcPr>
            <w:tcW w:w="9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20" w:h="16850"/>
          <w:pgMar w:header="639" w:footer="648" w:top="1260" w:bottom="840" w:left="283" w:right="425"/>
        </w:sectPr>
      </w:pPr>
    </w:p>
    <w:p>
      <w:pPr>
        <w:pStyle w:val="BodyText"/>
        <w:spacing w:before="136"/>
        <w:rPr>
          <w:rFonts w:ascii="Tahoma"/>
          <w:b/>
          <w:sz w:val="28"/>
        </w:rPr>
      </w:pPr>
    </w:p>
    <w:p>
      <w:pPr>
        <w:pStyle w:val="Heading1"/>
      </w:pPr>
      <w:r>
        <w:rPr>
          <w:color w:val="5B92C9"/>
          <w:spacing w:val="-2"/>
        </w:rPr>
        <w:t>Προοπτικές</w:t>
      </w:r>
    </w:p>
    <w:p>
      <w:pPr>
        <w:pStyle w:val="BodyText"/>
        <w:spacing w:before="248"/>
        <w:ind w:left="566" w:right="408"/>
        <w:jc w:val="both"/>
      </w:pPr>
      <w:r>
        <w:rPr>
          <w:spacing w:val="-8"/>
        </w:rPr>
        <w:t>Εν</w:t>
      </w:r>
      <w:r>
        <w:rPr>
          <w:spacing w:val="-2"/>
        </w:rPr>
        <w:t> </w:t>
      </w:r>
      <w:r>
        <w:rPr>
          <w:spacing w:val="-8"/>
        </w:rPr>
        <w:t>μέσω</w:t>
      </w:r>
      <w:r>
        <w:rPr/>
        <w:t> </w:t>
      </w:r>
      <w:r>
        <w:rPr>
          <w:spacing w:val="-8"/>
        </w:rPr>
        <w:t>αυξημένης</w:t>
      </w:r>
      <w:r>
        <w:rPr>
          <w:spacing w:val="-3"/>
        </w:rPr>
        <w:t> </w:t>
      </w:r>
      <w:r>
        <w:rPr>
          <w:spacing w:val="-8"/>
        </w:rPr>
        <w:t>γεωπολιτικής</w:t>
      </w:r>
      <w:r>
        <w:rPr/>
        <w:t> </w:t>
      </w:r>
      <w:r>
        <w:rPr>
          <w:spacing w:val="-8"/>
        </w:rPr>
        <w:t>αβεβαιότητας,</w:t>
      </w:r>
      <w:r>
        <w:rPr/>
        <w:t> </w:t>
      </w:r>
      <w:r>
        <w:rPr>
          <w:spacing w:val="-8"/>
        </w:rPr>
        <w:t>το</w:t>
      </w:r>
      <w:r>
        <w:rPr/>
        <w:t> </w:t>
      </w:r>
      <w:r>
        <w:rPr>
          <w:spacing w:val="-8"/>
        </w:rPr>
        <w:t>πραγματικό</w:t>
      </w:r>
      <w:r>
        <w:rPr/>
        <w:t> </w:t>
      </w:r>
      <w:r>
        <w:rPr>
          <w:spacing w:val="-8"/>
        </w:rPr>
        <w:t>ΑΕΠ</w:t>
      </w:r>
      <w:r>
        <w:rPr>
          <w:spacing w:val="-2"/>
        </w:rPr>
        <w:t> </w:t>
      </w:r>
      <w:r>
        <w:rPr>
          <w:spacing w:val="-8"/>
        </w:rPr>
        <w:t>αυξήθηκε</w:t>
      </w:r>
      <w:r>
        <w:rPr>
          <w:spacing w:val="-2"/>
        </w:rPr>
        <w:t> </w:t>
      </w:r>
      <w:r>
        <w:rPr>
          <w:spacing w:val="-8"/>
        </w:rPr>
        <w:t>κατά</w:t>
      </w:r>
      <w:r>
        <w:rPr/>
        <w:t> </w:t>
      </w:r>
      <w:r>
        <w:rPr>
          <w:spacing w:val="-8"/>
        </w:rPr>
        <w:t>2%</w:t>
      </w:r>
      <w:r>
        <w:rPr/>
        <w:t> </w:t>
      </w:r>
      <w:r>
        <w:rPr>
          <w:spacing w:val="-8"/>
        </w:rPr>
        <w:t>σε</w:t>
      </w:r>
      <w:r>
        <w:rPr>
          <w:spacing w:val="-2"/>
        </w:rPr>
        <w:t> </w:t>
      </w:r>
      <w:r>
        <w:rPr>
          <w:spacing w:val="-8"/>
        </w:rPr>
        <w:t>ετήσια</w:t>
      </w:r>
      <w:r>
        <w:rPr/>
        <w:t> </w:t>
      </w:r>
      <w:r>
        <w:rPr>
          <w:spacing w:val="-8"/>
        </w:rPr>
        <w:t>βάση</w:t>
      </w:r>
      <w:r>
        <w:rPr/>
        <w:t> </w:t>
      </w:r>
      <w:r>
        <w:rPr>
          <w:spacing w:val="-8"/>
        </w:rPr>
        <w:t>το</w:t>
      </w:r>
      <w:r>
        <w:rPr/>
        <w:t> </w:t>
      </w:r>
      <w:r>
        <w:rPr>
          <w:spacing w:val="-8"/>
        </w:rPr>
        <w:t>πρώτο</w:t>
      </w:r>
      <w:r>
        <w:rPr/>
        <w:t> </w:t>
      </w:r>
      <w:r>
        <w:rPr>
          <w:spacing w:val="-8"/>
        </w:rPr>
        <w:t>τρίμηνο του</w:t>
      </w:r>
      <w:r>
        <w:rPr>
          <w:spacing w:val="-3"/>
        </w:rPr>
        <w:t> </w:t>
      </w:r>
      <w:r>
        <w:rPr>
          <w:spacing w:val="-8"/>
        </w:rPr>
        <w:t>2026,</w:t>
      </w:r>
      <w:r>
        <w:rPr>
          <w:spacing w:val="-3"/>
        </w:rPr>
        <w:t> </w:t>
      </w:r>
      <w:r>
        <w:rPr>
          <w:spacing w:val="-8"/>
        </w:rPr>
        <w:t>με</w:t>
      </w:r>
      <w:r>
        <w:rPr>
          <w:spacing w:val="-3"/>
        </w:rPr>
        <w:t> </w:t>
      </w:r>
      <w:r>
        <w:rPr>
          <w:spacing w:val="-8"/>
        </w:rPr>
        <w:t>τη</w:t>
      </w:r>
      <w:r>
        <w:rPr>
          <w:spacing w:val="-3"/>
        </w:rPr>
        <w:t> </w:t>
      </w:r>
      <w:r>
        <w:rPr>
          <w:spacing w:val="-8"/>
        </w:rPr>
        <w:t>συμβολή</w:t>
      </w:r>
      <w:r>
        <w:rPr>
          <w:spacing w:val="-3"/>
        </w:rPr>
        <w:t> </w:t>
      </w:r>
      <w:r>
        <w:rPr>
          <w:spacing w:val="-8"/>
        </w:rPr>
        <w:t>όλων</w:t>
      </w:r>
      <w:r>
        <w:rPr>
          <w:spacing w:val="-4"/>
        </w:rPr>
        <w:t> </w:t>
      </w:r>
      <w:r>
        <w:rPr>
          <w:spacing w:val="-8"/>
        </w:rPr>
        <w:t>των</w:t>
      </w:r>
      <w:r>
        <w:rPr>
          <w:spacing w:val="-4"/>
        </w:rPr>
        <w:t> </w:t>
      </w:r>
      <w:r>
        <w:rPr>
          <w:spacing w:val="-8"/>
        </w:rPr>
        <w:t>βασικών</w:t>
      </w:r>
      <w:r>
        <w:rPr>
          <w:spacing w:val="-4"/>
        </w:rPr>
        <w:t> </w:t>
      </w:r>
      <w:r>
        <w:rPr>
          <w:spacing w:val="-8"/>
        </w:rPr>
        <w:t>συνιστωσών</w:t>
      </w:r>
      <w:r>
        <w:rPr>
          <w:spacing w:val="-7"/>
        </w:rPr>
        <w:t> </w:t>
      </w:r>
      <w:r>
        <w:rPr>
          <w:spacing w:val="-8"/>
        </w:rPr>
        <w:t>της</w:t>
      </w:r>
      <w:r>
        <w:rPr>
          <w:spacing w:val="-2"/>
        </w:rPr>
        <w:t> </w:t>
      </w:r>
      <w:r>
        <w:rPr>
          <w:spacing w:val="-8"/>
        </w:rPr>
        <w:t>εγχώριας</w:t>
      </w:r>
      <w:r>
        <w:rPr>
          <w:spacing w:val="-3"/>
        </w:rPr>
        <w:t> </w:t>
      </w:r>
      <w:r>
        <w:rPr>
          <w:spacing w:val="-8"/>
        </w:rPr>
        <w:t>ζήτησης.</w:t>
      </w:r>
      <w:r>
        <w:rPr>
          <w:spacing w:val="-3"/>
        </w:rPr>
        <w:t> </w:t>
      </w:r>
      <w:r>
        <w:rPr>
          <w:spacing w:val="-8"/>
        </w:rPr>
        <w:t>Η</w:t>
      </w:r>
      <w:r>
        <w:rPr>
          <w:spacing w:val="-4"/>
        </w:rPr>
        <w:t> </w:t>
      </w:r>
      <w:r>
        <w:rPr>
          <w:spacing w:val="-8"/>
        </w:rPr>
        <w:t>οικονομική</w:t>
      </w:r>
      <w:r>
        <w:rPr>
          <w:spacing w:val="-3"/>
        </w:rPr>
        <w:t> </w:t>
      </w:r>
      <w:r>
        <w:rPr>
          <w:spacing w:val="-8"/>
        </w:rPr>
        <w:t>μεγέθυνση</w:t>
      </w:r>
      <w:r>
        <w:rPr>
          <w:spacing w:val="-4"/>
        </w:rPr>
        <w:t> </w:t>
      </w:r>
      <w:r>
        <w:rPr>
          <w:spacing w:val="-8"/>
        </w:rPr>
        <w:t>εκτιμάται</w:t>
      </w:r>
      <w:r>
        <w:rPr>
          <w:spacing w:val="-5"/>
        </w:rPr>
        <w:t> </w:t>
      </w:r>
      <w:r>
        <w:rPr>
          <w:spacing w:val="-8"/>
        </w:rPr>
        <w:t>ότι</w:t>
      </w:r>
      <w:r>
        <w:rPr>
          <w:spacing w:val="-3"/>
        </w:rPr>
        <w:t> </w:t>
      </w:r>
      <w:r>
        <w:rPr>
          <w:spacing w:val="-8"/>
        </w:rPr>
        <w:t>θα </w:t>
      </w:r>
      <w:r>
        <w:rPr>
          <w:spacing w:val="-6"/>
        </w:rPr>
        <w:t>παραμείνει</w:t>
      </w:r>
      <w:r>
        <w:rPr>
          <w:spacing w:val="-10"/>
        </w:rPr>
        <w:t> </w:t>
      </w:r>
      <w:r>
        <w:rPr>
          <w:spacing w:val="-6"/>
        </w:rPr>
        <w:t>ανθεκτική,</w:t>
      </w:r>
      <w:r>
        <w:rPr>
          <w:spacing w:val="-10"/>
        </w:rPr>
        <w:t> </w:t>
      </w:r>
      <w:r>
        <w:rPr>
          <w:spacing w:val="-6"/>
        </w:rPr>
        <w:t>κοντά</w:t>
      </w:r>
      <w:r>
        <w:rPr>
          <w:spacing w:val="-12"/>
        </w:rPr>
        <w:t> </w:t>
      </w:r>
      <w:r>
        <w:rPr>
          <w:spacing w:val="-6"/>
        </w:rPr>
        <w:t>στο</w:t>
      </w:r>
      <w:r>
        <w:rPr>
          <w:spacing w:val="-10"/>
        </w:rPr>
        <w:t> </w:t>
      </w:r>
      <w:r>
        <w:rPr>
          <w:spacing w:val="-6"/>
        </w:rPr>
        <w:t>1,9%</w:t>
      </w:r>
      <w:r>
        <w:rPr>
          <w:spacing w:val="-10"/>
        </w:rPr>
        <w:t> </w:t>
      </w:r>
      <w:r>
        <w:rPr>
          <w:spacing w:val="-6"/>
        </w:rPr>
        <w:t>το</w:t>
      </w:r>
      <w:r>
        <w:rPr>
          <w:spacing w:val="-10"/>
        </w:rPr>
        <w:t> </w:t>
      </w:r>
      <w:r>
        <w:rPr>
          <w:spacing w:val="-6"/>
        </w:rPr>
        <w:t>2026,</w:t>
      </w:r>
      <w:r>
        <w:rPr>
          <w:spacing w:val="-10"/>
        </w:rPr>
        <w:t> </w:t>
      </w:r>
      <w:r>
        <w:rPr>
          <w:spacing w:val="-6"/>
        </w:rPr>
        <w:t>σημαντικά</w:t>
      </w:r>
      <w:r>
        <w:rPr>
          <w:spacing w:val="-13"/>
        </w:rPr>
        <w:t> </w:t>
      </w:r>
      <w:r>
        <w:rPr>
          <w:spacing w:val="-6"/>
        </w:rPr>
        <w:t>υψηλότερα</w:t>
      </w:r>
      <w:r>
        <w:rPr>
          <w:spacing w:val="-10"/>
        </w:rPr>
        <w:t> </w:t>
      </w:r>
      <w:r>
        <w:rPr>
          <w:spacing w:val="-6"/>
        </w:rPr>
        <w:t>από</w:t>
      </w:r>
      <w:r>
        <w:rPr>
          <w:spacing w:val="-11"/>
        </w:rPr>
        <w:t> </w:t>
      </w:r>
      <w:r>
        <w:rPr>
          <w:spacing w:val="-6"/>
        </w:rPr>
        <w:t>τον</w:t>
      </w:r>
      <w:r>
        <w:rPr>
          <w:spacing w:val="-11"/>
        </w:rPr>
        <w:t> </w:t>
      </w:r>
      <w:r>
        <w:rPr>
          <w:spacing w:val="-6"/>
        </w:rPr>
        <w:t>προβλεπόμενο</w:t>
      </w:r>
      <w:r>
        <w:rPr>
          <w:spacing w:val="-11"/>
        </w:rPr>
        <w:t> </w:t>
      </w:r>
      <w:r>
        <w:rPr>
          <w:spacing w:val="-6"/>
        </w:rPr>
        <w:t>μέσο</w:t>
      </w:r>
      <w:r>
        <w:rPr>
          <w:spacing w:val="-11"/>
        </w:rPr>
        <w:t> </w:t>
      </w:r>
      <w:r>
        <w:rPr>
          <w:spacing w:val="-6"/>
        </w:rPr>
        <w:t>όρο</w:t>
      </w:r>
      <w:r>
        <w:rPr>
          <w:spacing w:val="-10"/>
        </w:rPr>
        <w:t> </w:t>
      </w:r>
      <w:r>
        <w:rPr>
          <w:spacing w:val="-6"/>
        </w:rPr>
        <w:t>της</w:t>
      </w:r>
      <w:r>
        <w:rPr>
          <w:spacing w:val="-12"/>
        </w:rPr>
        <w:t> </w:t>
      </w:r>
      <w:r>
        <w:rPr>
          <w:spacing w:val="-6"/>
        </w:rPr>
        <w:t>ΕΕ.</w:t>
      </w:r>
      <w:r>
        <w:rPr>
          <w:spacing w:val="-10"/>
        </w:rPr>
        <w:t> </w:t>
      </w:r>
      <w:r>
        <w:rPr>
          <w:spacing w:val="-6"/>
        </w:rPr>
        <w:t>Ωστόσο,</w:t>
      </w:r>
    </w:p>
    <w:p>
      <w:pPr>
        <w:pStyle w:val="BodyText"/>
        <w:spacing w:line="218" w:lineRule="exact"/>
        <w:ind w:left="566"/>
        <w:jc w:val="both"/>
      </w:pPr>
      <w:r>
        <w:rPr>
          <w:spacing w:val="-6"/>
        </w:rPr>
        <w:t>οι</w:t>
      </w:r>
      <w:r>
        <w:rPr>
          <w:spacing w:val="43"/>
        </w:rPr>
        <w:t> </w:t>
      </w:r>
      <w:r>
        <w:rPr>
          <w:spacing w:val="-6"/>
        </w:rPr>
        <w:t>κίνδυνοι</w:t>
      </w:r>
      <w:r>
        <w:rPr>
          <w:spacing w:val="-12"/>
        </w:rPr>
        <w:t> </w:t>
      </w:r>
      <w:r>
        <w:rPr>
          <w:spacing w:val="-6"/>
        </w:rPr>
        <w:t>που</w:t>
      </w:r>
      <w:r>
        <w:rPr>
          <w:spacing w:val="-11"/>
        </w:rPr>
        <w:t> </w:t>
      </w:r>
      <w:r>
        <w:rPr>
          <w:spacing w:val="-6"/>
        </w:rPr>
        <w:t>περιβάλλουν</w:t>
      </w:r>
      <w:r>
        <w:rPr>
          <w:spacing w:val="-11"/>
        </w:rPr>
        <w:t> </w:t>
      </w:r>
      <w:r>
        <w:rPr>
          <w:spacing w:val="-6"/>
        </w:rPr>
        <w:t>τις</w:t>
      </w:r>
      <w:r>
        <w:rPr>
          <w:spacing w:val="-10"/>
        </w:rPr>
        <w:t> </w:t>
      </w:r>
      <w:r>
        <w:rPr>
          <w:spacing w:val="-6"/>
        </w:rPr>
        <w:t>προοπτικές</w:t>
      </w:r>
      <w:r>
        <w:rPr>
          <w:spacing w:val="-10"/>
        </w:rPr>
        <w:t> </w:t>
      </w:r>
      <w:r>
        <w:rPr>
          <w:spacing w:val="-6"/>
        </w:rPr>
        <w:t>της</w:t>
      </w:r>
      <w:r>
        <w:rPr>
          <w:spacing w:val="-11"/>
        </w:rPr>
        <w:t> </w:t>
      </w:r>
      <w:r>
        <w:rPr>
          <w:spacing w:val="-6"/>
        </w:rPr>
        <w:t>ελληνικής</w:t>
      </w:r>
      <w:r>
        <w:rPr>
          <w:spacing w:val="-9"/>
        </w:rPr>
        <w:t> </w:t>
      </w:r>
      <w:r>
        <w:rPr>
          <w:spacing w:val="-6"/>
        </w:rPr>
        <w:t>οικονομίας</w:t>
      </w:r>
      <w:r>
        <w:rPr>
          <w:spacing w:val="-12"/>
        </w:rPr>
        <w:t> </w:t>
      </w:r>
      <w:r>
        <w:rPr>
          <w:spacing w:val="-6"/>
        </w:rPr>
        <w:t>παραμένουν</w:t>
      </w:r>
      <w:r>
        <w:rPr>
          <w:spacing w:val="-12"/>
        </w:rPr>
        <w:t> </w:t>
      </w:r>
      <w:r>
        <w:rPr>
          <w:spacing w:val="-6"/>
        </w:rPr>
        <w:t>κυρίως</w:t>
      </w:r>
      <w:r>
        <w:rPr>
          <w:spacing w:val="-10"/>
        </w:rPr>
        <w:t> </w:t>
      </w:r>
      <w:r>
        <w:rPr>
          <w:spacing w:val="-6"/>
        </w:rPr>
        <w:t>καθοδικοί,</w:t>
      </w:r>
      <w:r>
        <w:rPr>
          <w:spacing w:val="-10"/>
        </w:rPr>
        <w:t> </w:t>
      </w:r>
      <w:r>
        <w:rPr>
          <w:spacing w:val="-6"/>
        </w:rPr>
        <w:t>καθώς</w:t>
      </w:r>
      <w:r>
        <w:rPr>
          <w:spacing w:val="-10"/>
        </w:rPr>
        <w:t> </w:t>
      </w:r>
      <w:r>
        <w:rPr>
          <w:spacing w:val="-6"/>
        </w:rPr>
        <w:t>οι</w:t>
      </w:r>
    </w:p>
    <w:p>
      <w:pPr>
        <w:pStyle w:val="BodyText"/>
        <w:ind w:left="566" w:right="961"/>
        <w:jc w:val="both"/>
      </w:pPr>
      <w:r>
        <w:rPr>
          <w:spacing w:val="-6"/>
        </w:rPr>
        <w:t>εντεινόμενες γεωπολιτικές</w:t>
      </w:r>
      <w:r>
        <w:rPr>
          <w:spacing w:val="-8"/>
        </w:rPr>
        <w:t> </w:t>
      </w:r>
      <w:r>
        <w:rPr>
          <w:spacing w:val="-6"/>
        </w:rPr>
        <w:t>εντάσεις ήδη</w:t>
      </w:r>
      <w:r>
        <w:rPr>
          <w:spacing w:val="-8"/>
        </w:rPr>
        <w:t> </w:t>
      </w:r>
      <w:r>
        <w:rPr>
          <w:spacing w:val="-6"/>
        </w:rPr>
        <w:t>ασκούν</w:t>
      </w:r>
      <w:r>
        <w:rPr>
          <w:spacing w:val="-7"/>
        </w:rPr>
        <w:t> </w:t>
      </w:r>
      <w:r>
        <w:rPr>
          <w:spacing w:val="-6"/>
        </w:rPr>
        <w:t>ανοδικές πιέσεις στον</w:t>
      </w:r>
      <w:r>
        <w:rPr>
          <w:spacing w:val="-7"/>
        </w:rPr>
        <w:t> </w:t>
      </w:r>
      <w:r>
        <w:rPr>
          <w:spacing w:val="-6"/>
        </w:rPr>
        <w:t>πληθωρισμό</w:t>
      </w:r>
      <w:r>
        <w:rPr>
          <w:spacing w:val="-9"/>
        </w:rPr>
        <w:t> </w:t>
      </w:r>
      <w:r>
        <w:rPr>
          <w:spacing w:val="-6"/>
        </w:rPr>
        <w:t>και ενδέχεται να</w:t>
      </w:r>
      <w:r>
        <w:rPr>
          <w:spacing w:val="-8"/>
        </w:rPr>
        <w:t> </w:t>
      </w:r>
      <w:r>
        <w:rPr>
          <w:spacing w:val="-6"/>
        </w:rPr>
        <w:t>οδηγήσουν</w:t>
      </w:r>
      <w:r>
        <w:rPr>
          <w:spacing w:val="-7"/>
        </w:rPr>
        <w:t> </w:t>
      </w:r>
      <w:r>
        <w:rPr>
          <w:spacing w:val="-6"/>
        </w:rPr>
        <w:t>σε </w:t>
      </w:r>
      <w:r>
        <w:rPr>
          <w:spacing w:val="-4"/>
        </w:rPr>
        <w:t>περαιτέρω</w:t>
      </w:r>
      <w:r>
        <w:rPr>
          <w:spacing w:val="-8"/>
        </w:rPr>
        <w:t> </w:t>
      </w:r>
      <w:r>
        <w:rPr>
          <w:spacing w:val="-4"/>
        </w:rPr>
        <w:t>επιτάχυνση</w:t>
      </w:r>
      <w:r>
        <w:rPr>
          <w:spacing w:val="-9"/>
        </w:rPr>
        <w:t> </w:t>
      </w:r>
      <w:r>
        <w:rPr>
          <w:spacing w:val="-4"/>
        </w:rPr>
        <w:t>των</w:t>
      </w:r>
      <w:r>
        <w:rPr>
          <w:spacing w:val="-9"/>
        </w:rPr>
        <w:t> </w:t>
      </w:r>
      <w:r>
        <w:rPr>
          <w:spacing w:val="-4"/>
        </w:rPr>
        <w:t>τιμών</w:t>
      </w:r>
      <w:r>
        <w:rPr>
          <w:spacing w:val="-9"/>
        </w:rPr>
        <w:t> </w:t>
      </w:r>
      <w:r>
        <w:rPr>
          <w:spacing w:val="-4"/>
        </w:rPr>
        <w:t>της</w:t>
      </w:r>
      <w:r>
        <w:rPr>
          <w:spacing w:val="-10"/>
        </w:rPr>
        <w:t> </w:t>
      </w:r>
      <w:r>
        <w:rPr>
          <w:spacing w:val="-4"/>
        </w:rPr>
        <w:t>ενέργειας</w:t>
      </w:r>
      <w:r>
        <w:rPr>
          <w:spacing w:val="-8"/>
        </w:rPr>
        <w:t> </w:t>
      </w:r>
      <w:r>
        <w:rPr>
          <w:spacing w:val="-4"/>
        </w:rPr>
        <w:t>και</w:t>
      </w:r>
      <w:r>
        <w:rPr>
          <w:spacing w:val="-8"/>
        </w:rPr>
        <w:t> </w:t>
      </w:r>
      <w:r>
        <w:rPr>
          <w:spacing w:val="-4"/>
        </w:rPr>
        <w:t>των</w:t>
      </w:r>
      <w:r>
        <w:rPr>
          <w:spacing w:val="-9"/>
        </w:rPr>
        <w:t> </w:t>
      </w:r>
      <w:r>
        <w:rPr>
          <w:spacing w:val="-4"/>
        </w:rPr>
        <w:t>πληθωριστικών</w:t>
      </w:r>
      <w:r>
        <w:rPr>
          <w:spacing w:val="-9"/>
        </w:rPr>
        <w:t> </w:t>
      </w:r>
      <w:r>
        <w:rPr>
          <w:spacing w:val="-4"/>
        </w:rPr>
        <w:t>προσδοκιών.</w:t>
      </w:r>
    </w:p>
    <w:p>
      <w:pPr>
        <w:pStyle w:val="BodyText"/>
        <w:spacing w:line="219" w:lineRule="exact" w:before="218"/>
        <w:ind w:left="566"/>
      </w:pPr>
      <w:r>
        <w:rPr>
          <w:w w:val="90"/>
        </w:rPr>
        <w:t>Η</w:t>
      </w:r>
      <w:r>
        <w:rPr>
          <w:spacing w:val="7"/>
        </w:rPr>
        <w:t> </w:t>
      </w:r>
      <w:r>
        <w:rPr>
          <w:w w:val="90"/>
        </w:rPr>
        <w:t>Alpha</w:t>
      </w:r>
      <w:r>
        <w:rPr>
          <w:spacing w:val="10"/>
        </w:rPr>
        <w:t> </w:t>
      </w:r>
      <w:r>
        <w:rPr>
          <w:w w:val="90"/>
        </w:rPr>
        <w:t>Bank</w:t>
      </w:r>
      <w:r>
        <w:rPr>
          <w:spacing w:val="11"/>
        </w:rPr>
        <w:t> </w:t>
      </w:r>
      <w:r>
        <w:rPr>
          <w:w w:val="90"/>
        </w:rPr>
        <w:t>κατέγραψε</w:t>
      </w:r>
      <w:r>
        <w:rPr>
          <w:spacing w:val="9"/>
        </w:rPr>
        <w:t> </w:t>
      </w:r>
      <w:r>
        <w:rPr>
          <w:w w:val="90"/>
        </w:rPr>
        <w:t>ισχυρή</w:t>
      </w:r>
      <w:r>
        <w:rPr>
          <w:spacing w:val="9"/>
        </w:rPr>
        <w:t> </w:t>
      </w:r>
      <w:r>
        <w:rPr>
          <w:w w:val="90"/>
        </w:rPr>
        <w:t>επίδοση</w:t>
      </w:r>
      <w:r>
        <w:rPr>
          <w:spacing w:val="10"/>
        </w:rPr>
        <w:t> </w:t>
      </w:r>
      <w:r>
        <w:rPr>
          <w:w w:val="90"/>
        </w:rPr>
        <w:t>κατά</w:t>
      </w:r>
      <w:r>
        <w:rPr>
          <w:spacing w:val="9"/>
        </w:rPr>
        <w:t> </w:t>
      </w:r>
      <w:r>
        <w:rPr>
          <w:w w:val="90"/>
        </w:rPr>
        <w:t>το</w:t>
      </w:r>
      <w:r>
        <w:rPr>
          <w:spacing w:val="5"/>
        </w:rPr>
        <w:t> </w:t>
      </w:r>
      <w:r>
        <w:rPr>
          <w:w w:val="90"/>
        </w:rPr>
        <w:t>α’</w:t>
      </w:r>
      <w:r>
        <w:rPr>
          <w:spacing w:val="8"/>
        </w:rPr>
        <w:t> </w:t>
      </w:r>
      <w:r>
        <w:rPr>
          <w:w w:val="90"/>
        </w:rPr>
        <w:t>εξάμηνο,</w:t>
      </w:r>
      <w:r>
        <w:rPr>
          <w:spacing w:val="9"/>
        </w:rPr>
        <w:t> </w:t>
      </w:r>
      <w:r>
        <w:rPr>
          <w:w w:val="90"/>
        </w:rPr>
        <w:t>η</w:t>
      </w:r>
      <w:r>
        <w:rPr>
          <w:spacing w:val="9"/>
        </w:rPr>
        <w:t> </w:t>
      </w:r>
      <w:r>
        <w:rPr>
          <w:w w:val="90"/>
        </w:rPr>
        <w:t>οποία</w:t>
      </w:r>
      <w:r>
        <w:rPr>
          <w:spacing w:val="5"/>
        </w:rPr>
        <w:t> </w:t>
      </w:r>
      <w:r>
        <w:rPr>
          <w:w w:val="90"/>
        </w:rPr>
        <w:t>υποστηρίχθηκε</w:t>
      </w:r>
      <w:r>
        <w:rPr>
          <w:spacing w:val="5"/>
        </w:rPr>
        <w:t> </w:t>
      </w:r>
      <w:r>
        <w:rPr>
          <w:w w:val="90"/>
        </w:rPr>
        <w:t>από</w:t>
      </w:r>
      <w:r>
        <w:rPr>
          <w:spacing w:val="10"/>
        </w:rPr>
        <w:t> </w:t>
      </w:r>
      <w:r>
        <w:rPr>
          <w:w w:val="90"/>
        </w:rPr>
        <w:t>διψήφια</w:t>
      </w:r>
      <w:r>
        <w:rPr>
          <w:spacing w:val="9"/>
        </w:rPr>
        <w:t> </w:t>
      </w:r>
      <w:r>
        <w:rPr>
          <w:w w:val="90"/>
        </w:rPr>
        <w:t>αύξηση</w:t>
      </w:r>
      <w:r>
        <w:rPr>
          <w:spacing w:val="9"/>
        </w:rPr>
        <w:t> </w:t>
      </w:r>
      <w:r>
        <w:rPr>
          <w:spacing w:val="-5"/>
          <w:w w:val="90"/>
        </w:rPr>
        <w:t>των</w:t>
      </w:r>
    </w:p>
    <w:p>
      <w:pPr>
        <w:pStyle w:val="BodyText"/>
        <w:ind w:left="566" w:right="749"/>
      </w:pPr>
      <w:r>
        <w:rPr>
          <w:spacing w:val="-6"/>
        </w:rPr>
        <w:t>εξυπηρετούμενων</w:t>
      </w:r>
      <w:r>
        <w:rPr>
          <w:spacing w:val="-11"/>
        </w:rPr>
        <w:t> </w:t>
      </w:r>
      <w:r>
        <w:rPr>
          <w:spacing w:val="-6"/>
        </w:rPr>
        <w:t>δανείων,</w:t>
      </w:r>
      <w:r>
        <w:rPr>
          <w:spacing w:val="-9"/>
        </w:rPr>
        <w:t> </w:t>
      </w:r>
      <w:r>
        <w:rPr>
          <w:spacing w:val="-6"/>
        </w:rPr>
        <w:t>σημαντική</w:t>
      </w:r>
      <w:r>
        <w:rPr>
          <w:spacing w:val="-9"/>
        </w:rPr>
        <w:t> </w:t>
      </w:r>
      <w:r>
        <w:rPr>
          <w:spacing w:val="-6"/>
        </w:rPr>
        <w:t>επέκταση</w:t>
      </w:r>
      <w:r>
        <w:rPr>
          <w:spacing w:val="-11"/>
        </w:rPr>
        <w:t> </w:t>
      </w:r>
      <w:r>
        <w:rPr>
          <w:spacing w:val="-6"/>
        </w:rPr>
        <w:t>των</w:t>
      </w:r>
      <w:r>
        <w:rPr>
          <w:spacing w:val="-11"/>
        </w:rPr>
        <w:t> </w:t>
      </w:r>
      <w:r>
        <w:rPr>
          <w:spacing w:val="-6"/>
        </w:rPr>
        <w:t>υπό</w:t>
      </w:r>
      <w:r>
        <w:rPr>
          <w:spacing w:val="-13"/>
        </w:rPr>
        <w:t> </w:t>
      </w:r>
      <w:r>
        <w:rPr>
          <w:spacing w:val="-6"/>
        </w:rPr>
        <w:t>διαχείριση</w:t>
      </w:r>
      <w:r>
        <w:rPr>
          <w:spacing w:val="-11"/>
        </w:rPr>
        <w:t> </w:t>
      </w:r>
      <w:r>
        <w:rPr>
          <w:spacing w:val="-6"/>
        </w:rPr>
        <w:t>περιουσιακών</w:t>
      </w:r>
      <w:r>
        <w:rPr>
          <w:spacing w:val="-11"/>
        </w:rPr>
        <w:t> </w:t>
      </w:r>
      <w:r>
        <w:rPr>
          <w:spacing w:val="-6"/>
        </w:rPr>
        <w:t>στοιχείων,</w:t>
      </w:r>
      <w:r>
        <w:rPr>
          <w:spacing w:val="-8"/>
        </w:rPr>
        <w:t> </w:t>
      </w:r>
      <w:r>
        <w:rPr>
          <w:spacing w:val="-6"/>
        </w:rPr>
        <w:t>ισχυρή</w:t>
      </w:r>
      <w:r>
        <w:rPr>
          <w:spacing w:val="-10"/>
        </w:rPr>
        <w:t> </w:t>
      </w:r>
      <w:r>
        <w:rPr>
          <w:spacing w:val="-6"/>
        </w:rPr>
        <w:t>κερδοφορία</w:t>
      </w:r>
      <w:r>
        <w:rPr>
          <w:spacing w:val="-9"/>
        </w:rPr>
        <w:t> </w:t>
      </w:r>
      <w:r>
        <w:rPr>
          <w:spacing w:val="-6"/>
        </w:rPr>
        <w:t>και </w:t>
      </w:r>
      <w:r>
        <w:rPr>
          <w:spacing w:val="-4"/>
        </w:rPr>
        <w:t>συνεπή</w:t>
      </w:r>
      <w:r>
        <w:rPr>
          <w:spacing w:val="-12"/>
        </w:rPr>
        <w:t> </w:t>
      </w:r>
      <w:r>
        <w:rPr>
          <w:spacing w:val="-4"/>
        </w:rPr>
        <w:t>υλοποίηση</w:t>
      </w:r>
      <w:r>
        <w:rPr>
          <w:spacing w:val="-13"/>
        </w:rPr>
        <w:t> </w:t>
      </w:r>
      <w:r>
        <w:rPr>
          <w:spacing w:val="-4"/>
        </w:rPr>
        <w:t>των</w:t>
      </w:r>
      <w:r>
        <w:rPr>
          <w:spacing w:val="-14"/>
        </w:rPr>
        <w:t> </w:t>
      </w:r>
      <w:r>
        <w:rPr>
          <w:spacing w:val="-4"/>
        </w:rPr>
        <w:t>στρατηγικών</w:t>
      </w:r>
      <w:r>
        <w:rPr>
          <w:spacing w:val="-14"/>
        </w:rPr>
        <w:t> </w:t>
      </w:r>
      <w:r>
        <w:rPr>
          <w:spacing w:val="-4"/>
        </w:rPr>
        <w:t>της</w:t>
      </w:r>
      <w:r>
        <w:rPr>
          <w:spacing w:val="-15"/>
        </w:rPr>
        <w:t> </w:t>
      </w:r>
      <w:r>
        <w:rPr>
          <w:spacing w:val="-4"/>
        </w:rPr>
        <w:t>προτεραιοτήτων.</w:t>
      </w:r>
      <w:r>
        <w:rPr>
          <w:spacing w:val="-13"/>
        </w:rPr>
        <w:t> </w:t>
      </w:r>
      <w:r>
        <w:rPr>
          <w:spacing w:val="-4"/>
        </w:rPr>
        <w:t>Η</w:t>
      </w:r>
      <w:r>
        <w:rPr>
          <w:spacing w:val="-14"/>
        </w:rPr>
        <w:t> </w:t>
      </w:r>
      <w:r>
        <w:rPr>
          <w:spacing w:val="-4"/>
        </w:rPr>
        <w:t>αυξανόμενη</w:t>
      </w:r>
      <w:r>
        <w:rPr>
          <w:spacing w:val="-16"/>
        </w:rPr>
        <w:t> </w:t>
      </w:r>
      <w:r>
        <w:rPr>
          <w:spacing w:val="-4"/>
        </w:rPr>
        <w:t>συνεισφορά</w:t>
      </w:r>
      <w:r>
        <w:rPr>
          <w:spacing w:val="-12"/>
        </w:rPr>
        <w:t> </w:t>
      </w:r>
      <w:r>
        <w:rPr>
          <w:spacing w:val="-4"/>
        </w:rPr>
        <w:t>των</w:t>
      </w:r>
      <w:r>
        <w:rPr>
          <w:spacing w:val="-14"/>
        </w:rPr>
        <w:t> </w:t>
      </w:r>
      <w:r>
        <w:rPr>
          <w:spacing w:val="-4"/>
        </w:rPr>
        <w:t>εσόδων</w:t>
      </w:r>
      <w:r>
        <w:rPr>
          <w:spacing w:val="-14"/>
        </w:rPr>
        <w:t> </w:t>
      </w:r>
      <w:r>
        <w:rPr>
          <w:spacing w:val="-4"/>
        </w:rPr>
        <w:t>από</w:t>
      </w:r>
      <w:r>
        <w:rPr>
          <w:spacing w:val="-14"/>
        </w:rPr>
        <w:t> </w:t>
      </w:r>
      <w:r>
        <w:rPr>
          <w:spacing w:val="-4"/>
        </w:rPr>
        <w:t>προμήθειες</w:t>
      </w:r>
    </w:p>
    <w:p>
      <w:pPr>
        <w:pStyle w:val="BodyText"/>
        <w:ind w:left="566"/>
      </w:pPr>
      <w:r>
        <w:rPr>
          <w:spacing w:val="-6"/>
        </w:rPr>
        <w:t>ενίσχυσε</w:t>
      </w:r>
      <w:r>
        <w:rPr>
          <w:spacing w:val="-10"/>
        </w:rPr>
        <w:t> </w:t>
      </w:r>
      <w:r>
        <w:rPr>
          <w:spacing w:val="-6"/>
        </w:rPr>
        <w:t>περαιτέρω</w:t>
      </w:r>
      <w:r>
        <w:rPr>
          <w:spacing w:val="-10"/>
        </w:rPr>
        <w:t> </w:t>
      </w:r>
      <w:r>
        <w:rPr>
          <w:spacing w:val="-6"/>
        </w:rPr>
        <w:t>την</w:t>
      </w:r>
      <w:r>
        <w:rPr>
          <w:spacing w:val="-12"/>
        </w:rPr>
        <w:t> </w:t>
      </w:r>
      <w:r>
        <w:rPr>
          <w:spacing w:val="-6"/>
        </w:rPr>
        <w:t>ποιότητα</w:t>
      </w:r>
      <w:r>
        <w:rPr>
          <w:spacing w:val="-10"/>
        </w:rPr>
        <w:t> </w:t>
      </w:r>
      <w:r>
        <w:rPr>
          <w:spacing w:val="-6"/>
        </w:rPr>
        <w:t>και</w:t>
      </w:r>
      <w:r>
        <w:rPr>
          <w:spacing w:val="-10"/>
        </w:rPr>
        <w:t> </w:t>
      </w:r>
      <w:r>
        <w:rPr>
          <w:spacing w:val="-6"/>
        </w:rPr>
        <w:t>τη</w:t>
      </w:r>
      <w:r>
        <w:rPr>
          <w:spacing w:val="-10"/>
        </w:rPr>
        <w:t> </w:t>
      </w:r>
      <w:r>
        <w:rPr>
          <w:spacing w:val="-6"/>
        </w:rPr>
        <w:t>διαφοροποίηση</w:t>
      </w:r>
      <w:r>
        <w:rPr>
          <w:spacing w:val="-7"/>
        </w:rPr>
        <w:t> </w:t>
      </w:r>
      <w:r>
        <w:rPr>
          <w:spacing w:val="-6"/>
        </w:rPr>
        <w:t>των</w:t>
      </w:r>
      <w:r>
        <w:rPr>
          <w:spacing w:val="-12"/>
        </w:rPr>
        <w:t> </w:t>
      </w:r>
      <w:r>
        <w:rPr>
          <w:spacing w:val="-6"/>
        </w:rPr>
        <w:t>πηγών</w:t>
      </w:r>
      <w:r>
        <w:rPr>
          <w:spacing w:val="-10"/>
        </w:rPr>
        <w:t> </w:t>
      </w:r>
      <w:r>
        <w:rPr>
          <w:spacing w:val="-6"/>
        </w:rPr>
        <w:t>εσόδων</w:t>
      </w:r>
      <w:r>
        <w:rPr>
          <w:spacing w:val="-14"/>
        </w:rPr>
        <w:t> </w:t>
      </w:r>
      <w:r>
        <w:rPr>
          <w:spacing w:val="-6"/>
        </w:rPr>
        <w:t>του</w:t>
      </w:r>
      <w:r>
        <w:rPr>
          <w:spacing w:val="-10"/>
        </w:rPr>
        <w:t> </w:t>
      </w:r>
      <w:r>
        <w:rPr>
          <w:spacing w:val="-6"/>
        </w:rPr>
        <w:t>Ομίλου,</w:t>
      </w:r>
      <w:r>
        <w:rPr>
          <w:spacing w:val="-10"/>
        </w:rPr>
        <w:t> </w:t>
      </w:r>
      <w:r>
        <w:rPr>
          <w:spacing w:val="-6"/>
        </w:rPr>
        <w:t>ενώ</w:t>
      </w:r>
      <w:r>
        <w:rPr>
          <w:spacing w:val="-10"/>
        </w:rPr>
        <w:t> </w:t>
      </w:r>
      <w:r>
        <w:rPr>
          <w:spacing w:val="-6"/>
        </w:rPr>
        <w:t>η</w:t>
      </w:r>
      <w:r>
        <w:rPr>
          <w:spacing w:val="-10"/>
        </w:rPr>
        <w:t> </w:t>
      </w:r>
      <w:r>
        <w:rPr>
          <w:spacing w:val="-6"/>
        </w:rPr>
        <w:t>ποιότητα</w:t>
      </w:r>
      <w:r>
        <w:rPr>
          <w:spacing w:val="-10"/>
        </w:rPr>
        <w:t> </w:t>
      </w:r>
      <w:r>
        <w:rPr>
          <w:spacing w:val="-6"/>
        </w:rPr>
        <w:t>του</w:t>
      </w:r>
      <w:r>
        <w:rPr>
          <w:spacing w:val="-7"/>
        </w:rPr>
        <w:t> </w:t>
      </w:r>
      <w:r>
        <w:rPr>
          <w:spacing w:val="-6"/>
        </w:rPr>
        <w:t>δανειακού χαρτοφυλακίου παρέμεινε ανθεκτική. Οι στρατηγικές εξαγορές που ολοκληρώθηκαν κατά τη διάρκεια του 2025</w:t>
      </w:r>
    </w:p>
    <w:p>
      <w:pPr>
        <w:pStyle w:val="BodyText"/>
        <w:ind w:left="566"/>
      </w:pPr>
      <w:r>
        <w:rPr>
          <w:spacing w:val="-6"/>
        </w:rPr>
        <w:t>συμβάλλουν ήδη στην λειτουργική απόδοση και διευρύνουν τις δυνατότητες του Ομίλου στη διαχείριση περιουσίας, την επενδυτική</w:t>
      </w:r>
      <w:r>
        <w:rPr>
          <w:spacing w:val="-12"/>
        </w:rPr>
        <w:t> </w:t>
      </w:r>
      <w:r>
        <w:rPr>
          <w:spacing w:val="-6"/>
        </w:rPr>
        <w:t>τραπεζική</w:t>
      </w:r>
      <w:r>
        <w:rPr>
          <w:spacing w:val="-12"/>
        </w:rPr>
        <w:t> </w:t>
      </w:r>
      <w:r>
        <w:rPr>
          <w:spacing w:val="-6"/>
        </w:rPr>
        <w:t>και</w:t>
      </w:r>
      <w:r>
        <w:rPr>
          <w:spacing w:val="-12"/>
        </w:rPr>
        <w:t> </w:t>
      </w:r>
      <w:r>
        <w:rPr>
          <w:spacing w:val="-6"/>
        </w:rPr>
        <w:t>την</w:t>
      </w:r>
      <w:r>
        <w:rPr>
          <w:spacing w:val="-15"/>
        </w:rPr>
        <w:t> </w:t>
      </w:r>
      <w:r>
        <w:rPr>
          <w:spacing w:val="-6"/>
        </w:rPr>
        <w:t>εξειδικευμένη</w:t>
      </w:r>
      <w:r>
        <w:rPr>
          <w:spacing w:val="-13"/>
        </w:rPr>
        <w:t> </w:t>
      </w:r>
      <w:r>
        <w:rPr>
          <w:spacing w:val="-6"/>
        </w:rPr>
        <w:t>χρηματοδότηση.</w:t>
      </w:r>
      <w:r>
        <w:rPr>
          <w:spacing w:val="-12"/>
        </w:rPr>
        <w:t> </w:t>
      </w:r>
      <w:r>
        <w:rPr>
          <w:spacing w:val="-6"/>
        </w:rPr>
        <w:t>Υποστηριζόμενη</w:t>
      </w:r>
      <w:r>
        <w:rPr>
          <w:spacing w:val="-13"/>
        </w:rPr>
        <w:t> </w:t>
      </w:r>
      <w:r>
        <w:rPr>
          <w:spacing w:val="-6"/>
        </w:rPr>
        <w:t>από</w:t>
      </w:r>
      <w:r>
        <w:rPr>
          <w:spacing w:val="-12"/>
        </w:rPr>
        <w:t> </w:t>
      </w:r>
      <w:r>
        <w:rPr>
          <w:spacing w:val="-6"/>
        </w:rPr>
        <w:t>τη</w:t>
      </w:r>
      <w:r>
        <w:rPr>
          <w:spacing w:val="-14"/>
        </w:rPr>
        <w:t> </w:t>
      </w:r>
      <w:r>
        <w:rPr>
          <w:spacing w:val="-6"/>
        </w:rPr>
        <w:t>συνεχή</w:t>
      </w:r>
      <w:r>
        <w:rPr>
          <w:spacing w:val="-12"/>
        </w:rPr>
        <w:t> </w:t>
      </w:r>
      <w:r>
        <w:rPr>
          <w:spacing w:val="-6"/>
        </w:rPr>
        <w:t>ανάπτυξη των</w:t>
      </w:r>
      <w:r>
        <w:rPr>
          <w:spacing w:val="-13"/>
        </w:rPr>
        <w:t> </w:t>
      </w:r>
      <w:r>
        <w:rPr>
          <w:spacing w:val="-6"/>
        </w:rPr>
        <w:t>βασικών</w:t>
      </w:r>
      <w:r>
        <w:rPr>
          <w:spacing w:val="-13"/>
        </w:rPr>
        <w:t> </w:t>
      </w:r>
      <w:r>
        <w:rPr>
          <w:spacing w:val="-6"/>
        </w:rPr>
        <w:t>της </w:t>
      </w:r>
      <w:r>
        <w:rPr>
          <w:spacing w:val="-4"/>
        </w:rPr>
        <w:t>δραστηριοτήτων</w:t>
      </w:r>
      <w:r>
        <w:rPr>
          <w:spacing w:val="-13"/>
        </w:rPr>
        <w:t> </w:t>
      </w:r>
      <w:r>
        <w:rPr>
          <w:spacing w:val="-4"/>
        </w:rPr>
        <w:t>και</w:t>
      </w:r>
      <w:r>
        <w:rPr>
          <w:spacing w:val="-12"/>
        </w:rPr>
        <w:t> </w:t>
      </w:r>
      <w:r>
        <w:rPr>
          <w:spacing w:val="-4"/>
        </w:rPr>
        <w:t>τη</w:t>
      </w:r>
      <w:r>
        <w:rPr>
          <w:spacing w:val="-12"/>
        </w:rPr>
        <w:t> </w:t>
      </w:r>
      <w:r>
        <w:rPr>
          <w:spacing w:val="-4"/>
        </w:rPr>
        <w:t>σταθερή</w:t>
      </w:r>
      <w:r>
        <w:rPr>
          <w:spacing w:val="-12"/>
        </w:rPr>
        <w:t> </w:t>
      </w:r>
      <w:r>
        <w:rPr>
          <w:spacing w:val="-4"/>
        </w:rPr>
        <w:t>δημιουργία</w:t>
      </w:r>
      <w:r>
        <w:rPr>
          <w:spacing w:val="-12"/>
        </w:rPr>
        <w:t> </w:t>
      </w:r>
      <w:r>
        <w:rPr>
          <w:spacing w:val="-4"/>
        </w:rPr>
        <w:t>κεφαλαίου,</w:t>
      </w:r>
      <w:r>
        <w:rPr>
          <w:spacing w:val="-14"/>
        </w:rPr>
        <w:t> </w:t>
      </w:r>
      <w:r>
        <w:rPr>
          <w:spacing w:val="-4"/>
        </w:rPr>
        <w:t>η</w:t>
      </w:r>
      <w:r>
        <w:rPr>
          <w:spacing w:val="-12"/>
        </w:rPr>
        <w:t> </w:t>
      </w:r>
      <w:r>
        <w:rPr>
          <w:spacing w:val="-4"/>
        </w:rPr>
        <w:t>Alpha</w:t>
      </w:r>
      <w:r>
        <w:rPr>
          <w:spacing w:val="-12"/>
        </w:rPr>
        <w:t> </w:t>
      </w:r>
      <w:r>
        <w:rPr>
          <w:spacing w:val="-4"/>
        </w:rPr>
        <w:t>Bank</w:t>
      </w:r>
      <w:r>
        <w:rPr>
          <w:spacing w:val="-11"/>
        </w:rPr>
        <w:t> </w:t>
      </w:r>
      <w:r>
        <w:rPr>
          <w:spacing w:val="-4"/>
        </w:rPr>
        <w:t>παραμένει</w:t>
      </w:r>
      <w:r>
        <w:rPr>
          <w:spacing w:val="-10"/>
        </w:rPr>
        <w:t> </w:t>
      </w:r>
      <w:r>
        <w:rPr>
          <w:spacing w:val="-4"/>
        </w:rPr>
        <w:t>συνεπής</w:t>
      </w:r>
      <w:r>
        <w:rPr>
          <w:spacing w:val="-11"/>
        </w:rPr>
        <w:t> </w:t>
      </w:r>
      <w:r>
        <w:rPr>
          <w:spacing w:val="-4"/>
        </w:rPr>
        <w:t>ως</w:t>
      </w:r>
      <w:r>
        <w:rPr>
          <w:spacing w:val="-14"/>
        </w:rPr>
        <w:t> </w:t>
      </w:r>
      <w:r>
        <w:rPr>
          <w:spacing w:val="-4"/>
        </w:rPr>
        <w:t>προς</w:t>
      </w:r>
      <w:r>
        <w:rPr>
          <w:spacing w:val="-11"/>
        </w:rPr>
        <w:t> </w:t>
      </w:r>
      <w:r>
        <w:rPr>
          <w:spacing w:val="-4"/>
        </w:rPr>
        <w:t>την</w:t>
      </w:r>
      <w:r>
        <w:rPr>
          <w:spacing w:val="-13"/>
        </w:rPr>
        <w:t> </w:t>
      </w:r>
      <w:r>
        <w:rPr>
          <w:spacing w:val="-4"/>
        </w:rPr>
        <w:t>υλοποίηση</w:t>
      </w:r>
      <w:r>
        <w:rPr>
          <w:spacing w:val="-15"/>
        </w:rPr>
        <w:t> </w:t>
      </w:r>
      <w:r>
        <w:rPr>
          <w:spacing w:val="-4"/>
        </w:rPr>
        <w:t>των </w:t>
      </w:r>
      <w:r>
        <w:rPr>
          <w:spacing w:val="-2"/>
        </w:rPr>
        <w:t>στόχων</w:t>
      </w:r>
      <w:r>
        <w:rPr>
          <w:spacing w:val="-14"/>
        </w:rPr>
        <w:t> </w:t>
      </w:r>
      <w:r>
        <w:rPr>
          <w:spacing w:val="-2"/>
        </w:rPr>
        <w:t>που</w:t>
      </w:r>
      <w:r>
        <w:rPr>
          <w:spacing w:val="-14"/>
        </w:rPr>
        <w:t> </w:t>
      </w:r>
      <w:r>
        <w:rPr>
          <w:spacing w:val="-2"/>
        </w:rPr>
        <w:t>έχουν</w:t>
      </w:r>
      <w:r>
        <w:rPr>
          <w:spacing w:val="-14"/>
        </w:rPr>
        <w:t> </w:t>
      </w:r>
      <w:r>
        <w:rPr>
          <w:spacing w:val="-2"/>
        </w:rPr>
        <w:t>τεθεί</w:t>
      </w:r>
      <w:r>
        <w:rPr>
          <w:spacing w:val="-14"/>
        </w:rPr>
        <w:t> </w:t>
      </w:r>
      <w:r>
        <w:rPr>
          <w:spacing w:val="-2"/>
        </w:rPr>
        <w:t>για</w:t>
      </w:r>
      <w:r>
        <w:rPr>
          <w:spacing w:val="-14"/>
        </w:rPr>
        <w:t> </w:t>
      </w:r>
      <w:r>
        <w:rPr>
          <w:spacing w:val="-2"/>
        </w:rPr>
        <w:t>το</w:t>
      </w:r>
      <w:r>
        <w:rPr>
          <w:spacing w:val="-13"/>
        </w:rPr>
        <w:t> </w:t>
      </w:r>
      <w:r>
        <w:rPr>
          <w:spacing w:val="-2"/>
        </w:rPr>
        <w:t>2026.</w:t>
      </w:r>
    </w:p>
    <w:p>
      <w:pPr>
        <w:pStyle w:val="BodyText"/>
      </w:pPr>
    </w:p>
    <w:p>
      <w:pPr>
        <w:pStyle w:val="BodyText"/>
        <w:spacing w:before="94"/>
      </w:pPr>
    </w:p>
    <w:p>
      <w:pPr>
        <w:pStyle w:val="Heading1"/>
      </w:pPr>
      <w:r>
        <w:rPr>
          <w:color w:val="5B92C9"/>
          <w:spacing w:val="-2"/>
        </w:rPr>
        <w:t>Κερδοφορία</w:t>
      </w:r>
    </w:p>
    <w:p>
      <w:pPr>
        <w:spacing w:before="236"/>
        <w:ind w:left="600" w:right="0" w:firstLine="0"/>
        <w:jc w:val="left"/>
        <w:rPr>
          <w:sz w:val="20"/>
        </w:rPr>
      </w:pPr>
      <w:r>
        <w:rPr>
          <w:color w:val="E2872E"/>
          <w:w w:val="90"/>
          <w:sz w:val="20"/>
        </w:rPr>
        <w:t>Ισχυρή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λειτουργική</w:t>
      </w:r>
      <w:r>
        <w:rPr>
          <w:color w:val="E2872E"/>
          <w:spacing w:val="8"/>
          <w:sz w:val="20"/>
        </w:rPr>
        <w:t> </w:t>
      </w:r>
      <w:r>
        <w:rPr>
          <w:color w:val="E2872E"/>
          <w:w w:val="90"/>
          <w:sz w:val="20"/>
        </w:rPr>
        <w:t>επίδοση</w:t>
      </w:r>
      <w:r>
        <w:rPr>
          <w:color w:val="E2872E"/>
          <w:spacing w:val="12"/>
          <w:sz w:val="20"/>
        </w:rPr>
        <w:t> </w:t>
      </w:r>
      <w:r>
        <w:rPr>
          <w:color w:val="E2872E"/>
          <w:w w:val="90"/>
          <w:sz w:val="20"/>
        </w:rPr>
        <w:t>στο</w:t>
      </w:r>
      <w:r>
        <w:rPr>
          <w:color w:val="E2872E"/>
          <w:spacing w:val="9"/>
          <w:sz w:val="20"/>
        </w:rPr>
        <w:t> </w:t>
      </w:r>
      <w:r>
        <w:rPr>
          <w:color w:val="E2872E"/>
          <w:w w:val="90"/>
          <w:sz w:val="20"/>
        </w:rPr>
        <w:t>α’</w:t>
      </w:r>
      <w:r>
        <w:rPr>
          <w:color w:val="E2872E"/>
          <w:spacing w:val="9"/>
          <w:sz w:val="20"/>
        </w:rPr>
        <w:t> </w:t>
      </w:r>
      <w:r>
        <w:rPr>
          <w:color w:val="E2872E"/>
          <w:w w:val="90"/>
          <w:sz w:val="20"/>
        </w:rPr>
        <w:t>εξάμηνο,</w:t>
      </w:r>
      <w:r>
        <w:rPr>
          <w:color w:val="E2872E"/>
          <w:spacing w:val="7"/>
          <w:sz w:val="20"/>
        </w:rPr>
        <w:t> </w:t>
      </w:r>
      <w:r>
        <w:rPr>
          <w:color w:val="E2872E"/>
          <w:w w:val="90"/>
          <w:sz w:val="20"/>
        </w:rPr>
        <w:t>με</w:t>
      </w:r>
      <w:r>
        <w:rPr>
          <w:color w:val="E2872E"/>
          <w:spacing w:val="9"/>
          <w:sz w:val="20"/>
        </w:rPr>
        <w:t> </w:t>
      </w:r>
      <w:r>
        <w:rPr>
          <w:color w:val="E2872E"/>
          <w:w w:val="90"/>
          <w:sz w:val="20"/>
        </w:rPr>
        <w:t>μοχλό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την</w:t>
      </w:r>
      <w:r>
        <w:rPr>
          <w:color w:val="E2872E"/>
          <w:spacing w:val="7"/>
          <w:sz w:val="20"/>
        </w:rPr>
        <w:t> </w:t>
      </w:r>
      <w:r>
        <w:rPr>
          <w:color w:val="E2872E"/>
          <w:w w:val="90"/>
          <w:sz w:val="20"/>
        </w:rPr>
        <w:t>ανάπτυξη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και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τη</w:t>
      </w:r>
      <w:r>
        <w:rPr>
          <w:color w:val="E2872E"/>
          <w:spacing w:val="8"/>
          <w:sz w:val="20"/>
        </w:rPr>
        <w:t> </w:t>
      </w:r>
      <w:r>
        <w:rPr>
          <w:color w:val="E2872E"/>
          <w:w w:val="90"/>
          <w:sz w:val="20"/>
        </w:rPr>
        <w:t>διαφοροποίηση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των</w:t>
      </w:r>
      <w:r>
        <w:rPr>
          <w:color w:val="E2872E"/>
          <w:spacing w:val="11"/>
          <w:sz w:val="20"/>
        </w:rPr>
        <w:t> </w:t>
      </w:r>
      <w:r>
        <w:rPr>
          <w:color w:val="E2872E"/>
          <w:spacing w:val="-2"/>
          <w:w w:val="90"/>
          <w:sz w:val="20"/>
        </w:rPr>
        <w:t>εσόδων</w:t>
      </w:r>
    </w:p>
    <w:p>
      <w:pPr>
        <w:pStyle w:val="ListParagraph"/>
        <w:numPr>
          <w:ilvl w:val="0"/>
          <w:numId w:val="2"/>
        </w:numPr>
        <w:tabs>
          <w:tab w:pos="926" w:val="left" w:leader="none"/>
        </w:tabs>
        <w:spacing w:line="240" w:lineRule="auto" w:before="114" w:after="0"/>
        <w:ind w:left="926" w:right="0" w:hanging="360"/>
        <w:jc w:val="left"/>
        <w:rPr>
          <w:sz w:val="20"/>
        </w:rPr>
      </w:pPr>
      <w:r>
        <w:rPr>
          <w:w w:val="90"/>
          <w:sz w:val="20"/>
        </w:rPr>
        <w:t>Καθαρό</w:t>
      </w:r>
      <w:r>
        <w:rPr>
          <w:spacing w:val="-7"/>
          <w:sz w:val="20"/>
        </w:rPr>
        <w:t> </w:t>
      </w:r>
      <w:r>
        <w:rPr>
          <w:w w:val="90"/>
          <w:sz w:val="20"/>
        </w:rPr>
        <w:t>Έσοδο</w:t>
      </w:r>
      <w:r>
        <w:rPr>
          <w:spacing w:val="-6"/>
          <w:sz w:val="20"/>
        </w:rPr>
        <w:t> </w:t>
      </w:r>
      <w:r>
        <w:rPr>
          <w:w w:val="90"/>
          <w:sz w:val="20"/>
        </w:rPr>
        <w:t>Τόκων</w:t>
      </w:r>
      <w:r>
        <w:rPr>
          <w:spacing w:val="-5"/>
          <w:sz w:val="20"/>
        </w:rPr>
        <w:t> </w:t>
      </w:r>
      <w:r>
        <w:rPr>
          <w:w w:val="90"/>
          <w:sz w:val="20"/>
        </w:rPr>
        <w:t>αυξημένο</w:t>
      </w:r>
      <w:r>
        <w:rPr>
          <w:spacing w:val="-7"/>
          <w:sz w:val="20"/>
        </w:rPr>
        <w:t> </w:t>
      </w:r>
      <w:r>
        <w:rPr>
          <w:w w:val="90"/>
          <w:sz w:val="20"/>
        </w:rPr>
        <w:t>κατά</w:t>
      </w:r>
      <w:r>
        <w:rPr>
          <w:spacing w:val="-6"/>
          <w:sz w:val="20"/>
        </w:rPr>
        <w:t> </w:t>
      </w:r>
      <w:r>
        <w:rPr>
          <w:w w:val="90"/>
          <w:sz w:val="20"/>
        </w:rPr>
        <w:t>€20,2</w:t>
      </w:r>
      <w:r>
        <w:rPr>
          <w:spacing w:val="-4"/>
          <w:sz w:val="20"/>
        </w:rPr>
        <w:t> </w:t>
      </w:r>
      <w:r>
        <w:rPr>
          <w:w w:val="90"/>
          <w:sz w:val="20"/>
        </w:rPr>
        <w:t>εκατ.</w:t>
      </w:r>
      <w:r>
        <w:rPr>
          <w:spacing w:val="-6"/>
          <w:sz w:val="20"/>
        </w:rPr>
        <w:t> </w:t>
      </w:r>
      <w:r>
        <w:rPr>
          <w:w w:val="90"/>
          <w:sz w:val="20"/>
        </w:rPr>
        <w:t>ή</w:t>
      </w:r>
      <w:r>
        <w:rPr>
          <w:spacing w:val="-4"/>
          <w:sz w:val="20"/>
        </w:rPr>
        <w:t> </w:t>
      </w:r>
      <w:r>
        <w:rPr>
          <w:w w:val="90"/>
          <w:sz w:val="20"/>
        </w:rPr>
        <w:t>4,8%</w:t>
      </w:r>
      <w:r>
        <w:rPr>
          <w:spacing w:val="-7"/>
          <w:sz w:val="20"/>
        </w:rPr>
        <w:t> </w:t>
      </w:r>
      <w:r>
        <w:rPr>
          <w:w w:val="90"/>
          <w:sz w:val="20"/>
        </w:rPr>
        <w:t>σε</w:t>
      </w:r>
      <w:r>
        <w:rPr>
          <w:spacing w:val="-4"/>
          <w:sz w:val="20"/>
        </w:rPr>
        <w:t> </w:t>
      </w:r>
      <w:r>
        <w:rPr>
          <w:w w:val="90"/>
          <w:sz w:val="20"/>
        </w:rPr>
        <w:t>τριμηνιαία</w:t>
      </w:r>
      <w:r>
        <w:rPr>
          <w:spacing w:val="-6"/>
          <w:sz w:val="20"/>
        </w:rPr>
        <w:t> </w:t>
      </w:r>
      <w:r>
        <w:rPr>
          <w:w w:val="90"/>
          <w:sz w:val="20"/>
        </w:rPr>
        <w:t>βάση</w:t>
      </w:r>
      <w:r>
        <w:rPr>
          <w:spacing w:val="-2"/>
          <w:sz w:val="20"/>
        </w:rPr>
        <w:t> </w:t>
      </w:r>
      <w:r>
        <w:rPr>
          <w:w w:val="90"/>
          <w:sz w:val="20"/>
        </w:rPr>
        <w:t>σε</w:t>
      </w:r>
      <w:r>
        <w:rPr>
          <w:spacing w:val="-6"/>
          <w:sz w:val="20"/>
        </w:rPr>
        <w:t> </w:t>
      </w:r>
      <w:r>
        <w:rPr>
          <w:w w:val="90"/>
          <w:sz w:val="20"/>
        </w:rPr>
        <w:t>€436,4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εκατ.</w:t>
      </w:r>
      <w:r>
        <w:rPr>
          <w:spacing w:val="-7"/>
          <w:sz w:val="20"/>
        </w:rPr>
        <w:t> </w:t>
      </w:r>
      <w:r>
        <w:rPr>
          <w:w w:val="90"/>
          <w:sz w:val="20"/>
        </w:rPr>
        <w:t>,</w:t>
      </w:r>
      <w:r>
        <w:rPr>
          <w:spacing w:val="-7"/>
          <w:sz w:val="20"/>
        </w:rPr>
        <w:t> </w:t>
      </w:r>
      <w:r>
        <w:rPr>
          <w:spacing w:val="-5"/>
          <w:w w:val="90"/>
          <w:sz w:val="20"/>
        </w:rPr>
        <w:t>ως</w:t>
      </w:r>
    </w:p>
    <w:p>
      <w:pPr>
        <w:spacing w:line="252" w:lineRule="auto" w:before="7"/>
        <w:ind w:left="927" w:right="0" w:firstLine="0"/>
        <w:jc w:val="left"/>
        <w:rPr>
          <w:sz w:val="20"/>
        </w:rPr>
      </w:pPr>
      <w:r>
        <w:rPr>
          <w:w w:val="90"/>
          <w:sz w:val="20"/>
        </w:rPr>
        <w:t>αποτέλεσμα της θετικής συνεισφοράς του χαρτοφυλακίου των δανείων και των ομολόγων,</w:t>
      </w:r>
      <w:r>
        <w:rPr>
          <w:spacing w:val="31"/>
          <w:sz w:val="20"/>
        </w:rPr>
        <w:t> </w:t>
      </w:r>
      <w:r>
        <w:rPr>
          <w:w w:val="90"/>
          <w:sz w:val="20"/>
        </w:rPr>
        <w:t>κυρίως λόγω</w:t>
      </w:r>
      <w:r>
        <w:rPr>
          <w:spacing w:val="40"/>
          <w:sz w:val="20"/>
        </w:rPr>
        <w:t> </w:t>
      </w:r>
      <w:r>
        <w:rPr>
          <w:w w:val="90"/>
          <w:sz w:val="20"/>
        </w:rPr>
        <w:t>αυξημένων</w:t>
      </w:r>
      <w:r>
        <w:rPr>
          <w:spacing w:val="3"/>
          <w:sz w:val="20"/>
        </w:rPr>
        <w:t> </w:t>
      </w:r>
      <w:r>
        <w:rPr>
          <w:w w:val="90"/>
          <w:sz w:val="20"/>
        </w:rPr>
        <w:t>υπολοίπων.</w:t>
      </w:r>
      <w:r>
        <w:rPr>
          <w:spacing w:val="5"/>
          <w:sz w:val="20"/>
        </w:rPr>
        <w:t> </w:t>
      </w:r>
      <w:r>
        <w:rPr>
          <w:w w:val="90"/>
          <w:sz w:val="20"/>
        </w:rPr>
        <w:t>Το</w:t>
      </w:r>
      <w:r>
        <w:rPr>
          <w:spacing w:val="4"/>
          <w:sz w:val="20"/>
        </w:rPr>
        <w:t> </w:t>
      </w:r>
      <w:r>
        <w:rPr>
          <w:w w:val="90"/>
          <w:sz w:val="20"/>
        </w:rPr>
        <w:t>Καθαρό</w:t>
      </w:r>
      <w:r>
        <w:rPr>
          <w:spacing w:val="5"/>
          <w:sz w:val="20"/>
        </w:rPr>
        <w:t> </w:t>
      </w:r>
      <w:r>
        <w:rPr>
          <w:w w:val="90"/>
          <w:sz w:val="20"/>
        </w:rPr>
        <w:t>Έσοδο</w:t>
      </w:r>
      <w:r>
        <w:rPr>
          <w:spacing w:val="5"/>
          <w:sz w:val="20"/>
        </w:rPr>
        <w:t> </w:t>
      </w:r>
      <w:r>
        <w:rPr>
          <w:w w:val="90"/>
          <w:sz w:val="20"/>
        </w:rPr>
        <w:t>Τόκων</w:t>
      </w:r>
      <w:r>
        <w:rPr>
          <w:spacing w:val="10"/>
          <w:sz w:val="20"/>
        </w:rPr>
        <w:t> </w:t>
      </w:r>
      <w:r>
        <w:rPr>
          <w:w w:val="90"/>
          <w:sz w:val="20"/>
        </w:rPr>
        <w:t>για</w:t>
      </w:r>
      <w:r>
        <w:rPr>
          <w:spacing w:val="5"/>
          <w:sz w:val="20"/>
        </w:rPr>
        <w:t> </w:t>
      </w:r>
      <w:r>
        <w:rPr>
          <w:w w:val="90"/>
          <w:sz w:val="20"/>
        </w:rPr>
        <w:t>το</w:t>
      </w:r>
      <w:r>
        <w:rPr>
          <w:spacing w:val="4"/>
          <w:sz w:val="20"/>
        </w:rPr>
        <w:t> </w:t>
      </w:r>
      <w:r>
        <w:rPr>
          <w:w w:val="90"/>
          <w:sz w:val="20"/>
        </w:rPr>
        <w:t>εξάμηνο</w:t>
      </w:r>
      <w:r>
        <w:rPr>
          <w:spacing w:val="8"/>
          <w:sz w:val="20"/>
        </w:rPr>
        <w:t> </w:t>
      </w:r>
      <w:r>
        <w:rPr>
          <w:w w:val="90"/>
          <w:sz w:val="20"/>
        </w:rPr>
        <w:t>ενισχύθηκε</w:t>
      </w:r>
      <w:r>
        <w:rPr>
          <w:spacing w:val="7"/>
          <w:sz w:val="20"/>
        </w:rPr>
        <w:t> </w:t>
      </w:r>
      <w:r>
        <w:rPr>
          <w:w w:val="90"/>
          <w:sz w:val="20"/>
        </w:rPr>
        <w:t>κατά</w:t>
      </w:r>
      <w:r>
        <w:rPr>
          <w:spacing w:val="8"/>
          <w:sz w:val="20"/>
        </w:rPr>
        <w:t> </w:t>
      </w:r>
      <w:r>
        <w:rPr>
          <w:w w:val="90"/>
          <w:sz w:val="20"/>
        </w:rPr>
        <w:t>7,3%</w:t>
      </w:r>
      <w:r>
        <w:rPr>
          <w:spacing w:val="7"/>
          <w:sz w:val="20"/>
        </w:rPr>
        <w:t> </w:t>
      </w:r>
      <w:r>
        <w:rPr>
          <w:w w:val="90"/>
          <w:sz w:val="20"/>
        </w:rPr>
        <w:t>σε</w:t>
      </w:r>
      <w:r>
        <w:rPr>
          <w:spacing w:val="5"/>
          <w:sz w:val="20"/>
        </w:rPr>
        <w:t> </w:t>
      </w:r>
      <w:r>
        <w:rPr>
          <w:w w:val="90"/>
          <w:sz w:val="20"/>
        </w:rPr>
        <w:t>ετήσια</w:t>
      </w:r>
      <w:r>
        <w:rPr>
          <w:spacing w:val="5"/>
          <w:sz w:val="20"/>
        </w:rPr>
        <w:t> </w:t>
      </w:r>
      <w:r>
        <w:rPr>
          <w:spacing w:val="-2"/>
          <w:w w:val="90"/>
          <w:sz w:val="20"/>
        </w:rPr>
        <w:t>βάση.</w:t>
      </w:r>
    </w:p>
    <w:p>
      <w:pPr>
        <w:pStyle w:val="ListParagraph"/>
        <w:numPr>
          <w:ilvl w:val="0"/>
          <w:numId w:val="2"/>
        </w:numPr>
        <w:tabs>
          <w:tab w:pos="927" w:val="left" w:leader="none"/>
        </w:tabs>
        <w:spacing w:line="249" w:lineRule="auto" w:before="116" w:after="0"/>
        <w:ind w:left="927" w:right="462" w:hanging="361"/>
        <w:jc w:val="left"/>
        <w:rPr>
          <w:sz w:val="20"/>
        </w:rPr>
      </w:pPr>
      <w:r>
        <w:rPr>
          <w:w w:val="90"/>
          <w:sz w:val="20"/>
        </w:rPr>
        <w:t>Έσοδα από αμοιβές υπηρεσιών σε €186,7 εκατ. το β’ τρίμηνο, ενισχυμένα κατά 33,6% σε τριμηνιαία βάση, </w:t>
      </w:r>
      <w:r>
        <w:rPr>
          <w:spacing w:val="-4"/>
          <w:sz w:val="20"/>
        </w:rPr>
        <w:t>κυρίως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ως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αποτέλεσμα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της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αύξησης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των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εσόδων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διαχείρισης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ακινήτων,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τα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οποία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επωφελήθηκαν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από </w:t>
      </w:r>
      <w:r>
        <w:rPr>
          <w:spacing w:val="-6"/>
          <w:sz w:val="20"/>
        </w:rPr>
        <w:t>μέρισμα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της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PRODEA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Investments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ύψους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€39,6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εκατ.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Εξαιρουμένου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του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μερίσματος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της PRODEA,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τα</w:t>
      </w:r>
    </w:p>
    <w:p>
      <w:pPr>
        <w:spacing w:line="249" w:lineRule="auto" w:before="0"/>
        <w:ind w:left="927" w:right="582" w:firstLine="0"/>
        <w:jc w:val="left"/>
        <w:rPr>
          <w:sz w:val="20"/>
        </w:rPr>
      </w:pPr>
      <w:r>
        <w:rPr>
          <w:spacing w:val="-6"/>
          <w:sz w:val="20"/>
        </w:rPr>
        <w:t>έσοδα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από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αμοιβές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υπηρεσιών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αυξήθηκαν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κατά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+5,3%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σε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τριμηνιαία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βάση,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ως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αποτέλεσμα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των υψηλότερων εσόδων των δραστηριοτήτων επενδυτικής τραπεζικής και χρηματιστηριακών εργασιών </w:t>
      </w:r>
      <w:r>
        <w:rPr>
          <w:spacing w:val="-8"/>
          <w:sz w:val="20"/>
        </w:rPr>
        <w:t>καθώς και των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υψηλότερων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εσόδων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από Κάρτες. Το α’ εξάμηνο 2026, τα έσοδα από αμοιβές υπηρεσιών </w:t>
      </w:r>
      <w:r>
        <w:rPr>
          <w:w w:val="90"/>
          <w:sz w:val="20"/>
        </w:rPr>
        <w:t>αυξήθηκαν κατά +34% ή +23,7% σε ετήσια βάση, εξαιρουμένων των μερισμάτων από την PRODEA.</w:t>
      </w:r>
    </w:p>
    <w:p>
      <w:pPr>
        <w:pStyle w:val="ListParagraph"/>
        <w:numPr>
          <w:ilvl w:val="0"/>
          <w:numId w:val="2"/>
        </w:numPr>
        <w:tabs>
          <w:tab w:pos="927" w:val="left" w:leader="none"/>
        </w:tabs>
        <w:spacing w:line="240" w:lineRule="auto" w:before="116" w:after="0"/>
        <w:ind w:left="927" w:right="338" w:hanging="361"/>
        <w:jc w:val="left"/>
        <w:rPr>
          <w:sz w:val="20"/>
        </w:rPr>
      </w:pPr>
      <w:r>
        <w:rPr>
          <w:w w:val="90"/>
          <w:sz w:val="20"/>
        </w:rPr>
        <w:t>Επαναλαμβανόμενα Λειτουργικά Έξοδα αυξημένα κατά 4,9% σε σχέση με το α’ τρίμηνο, ανήλθαν σε €239,5 εκατ., ως αποτέλεσμα των υψηλότερων αποδοχών Προσωπικού (+8,5% σε τριμηνιαία βάση) καθώς και των </w:t>
      </w:r>
      <w:r>
        <w:rPr>
          <w:spacing w:val="-8"/>
          <w:sz w:val="20"/>
        </w:rPr>
        <w:t>υψηλότερων</w:t>
      </w:r>
      <w:r>
        <w:rPr>
          <w:spacing w:val="-10"/>
          <w:sz w:val="20"/>
        </w:rPr>
        <w:t> </w:t>
      </w:r>
      <w:r>
        <w:rPr>
          <w:spacing w:val="-8"/>
          <w:sz w:val="20"/>
        </w:rPr>
        <w:t>αποσβέσεων (+7,8%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σε τριμηνιαία βάση). Το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α’</w:t>
      </w:r>
      <w:r>
        <w:rPr>
          <w:spacing w:val="-9"/>
          <w:sz w:val="20"/>
        </w:rPr>
        <w:t> </w:t>
      </w:r>
      <w:r>
        <w:rPr>
          <w:spacing w:val="-8"/>
          <w:sz w:val="20"/>
        </w:rPr>
        <w:t>εξάμηνο του</w:t>
      </w:r>
      <w:r>
        <w:rPr>
          <w:spacing w:val="-10"/>
          <w:sz w:val="20"/>
        </w:rPr>
        <w:t> </w:t>
      </w:r>
      <w:r>
        <w:rPr>
          <w:spacing w:val="-8"/>
          <w:sz w:val="20"/>
        </w:rPr>
        <w:t>2026,</w:t>
      </w:r>
      <w:r>
        <w:rPr>
          <w:spacing w:val="-10"/>
          <w:sz w:val="20"/>
        </w:rPr>
        <w:t> </w:t>
      </w:r>
      <w:r>
        <w:rPr>
          <w:spacing w:val="-8"/>
          <w:sz w:val="20"/>
        </w:rPr>
        <w:t>τα επαναλαμβανόμενα έξοδα αυξήθηκαν κατά +13,6%, κυρίως λόγω των υψηλότερων αμοιβών προσωπικού, καθώς και των </w:t>
      </w:r>
      <w:r>
        <w:rPr>
          <w:spacing w:val="-4"/>
          <w:sz w:val="20"/>
        </w:rPr>
        <w:t>αυξημένων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γενικών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εξόδων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και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των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αποσβέσεων.</w:t>
      </w:r>
    </w:p>
    <w:p>
      <w:pPr>
        <w:pStyle w:val="ListParagraph"/>
        <w:numPr>
          <w:ilvl w:val="0"/>
          <w:numId w:val="2"/>
        </w:numPr>
        <w:tabs>
          <w:tab w:pos="926" w:val="left" w:leader="none"/>
        </w:tabs>
        <w:spacing w:line="240" w:lineRule="auto" w:before="145" w:after="0"/>
        <w:ind w:left="926" w:right="0" w:hanging="360"/>
        <w:jc w:val="left"/>
        <w:rPr>
          <w:sz w:val="20"/>
        </w:rPr>
      </w:pPr>
      <w:r>
        <w:rPr>
          <w:w w:val="90"/>
          <w:sz w:val="20"/>
        </w:rPr>
        <w:t>Κόστος</w:t>
      </w:r>
      <w:r>
        <w:rPr>
          <w:spacing w:val="5"/>
          <w:sz w:val="20"/>
        </w:rPr>
        <w:t> </w:t>
      </w:r>
      <w:r>
        <w:rPr>
          <w:w w:val="90"/>
          <w:sz w:val="20"/>
        </w:rPr>
        <w:t>Πιστωτικού</w:t>
      </w:r>
      <w:r>
        <w:rPr>
          <w:spacing w:val="6"/>
          <w:sz w:val="20"/>
        </w:rPr>
        <w:t> </w:t>
      </w:r>
      <w:r>
        <w:rPr>
          <w:w w:val="90"/>
          <w:sz w:val="20"/>
        </w:rPr>
        <w:t>Κινδύνου</w:t>
      </w:r>
      <w:r>
        <w:rPr>
          <w:spacing w:val="11"/>
          <w:sz w:val="20"/>
        </w:rPr>
        <w:t> </w:t>
      </w:r>
      <w:r>
        <w:rPr>
          <w:w w:val="90"/>
          <w:sz w:val="20"/>
        </w:rPr>
        <w:t>39</w:t>
      </w:r>
      <w:r>
        <w:rPr>
          <w:spacing w:val="3"/>
          <w:sz w:val="20"/>
        </w:rPr>
        <w:t> </w:t>
      </w:r>
      <w:r>
        <w:rPr>
          <w:w w:val="90"/>
          <w:sz w:val="20"/>
        </w:rPr>
        <w:t>μ.β.</w:t>
      </w:r>
      <w:r>
        <w:rPr>
          <w:spacing w:val="3"/>
          <w:sz w:val="20"/>
        </w:rPr>
        <w:t> </w:t>
      </w:r>
      <w:r>
        <w:rPr>
          <w:w w:val="90"/>
          <w:sz w:val="20"/>
        </w:rPr>
        <w:t>το</w:t>
      </w:r>
      <w:r>
        <w:rPr>
          <w:spacing w:val="7"/>
          <w:sz w:val="20"/>
        </w:rPr>
        <w:t> </w:t>
      </w:r>
      <w:r>
        <w:rPr>
          <w:w w:val="90"/>
          <w:sz w:val="20"/>
        </w:rPr>
        <w:t>β’</w:t>
      </w:r>
      <w:r>
        <w:rPr>
          <w:spacing w:val="6"/>
          <w:sz w:val="20"/>
        </w:rPr>
        <w:t> </w:t>
      </w:r>
      <w:r>
        <w:rPr>
          <w:w w:val="90"/>
          <w:sz w:val="20"/>
        </w:rPr>
        <w:t>τρίμηνο</w:t>
      </w:r>
      <w:r>
        <w:rPr>
          <w:spacing w:val="7"/>
          <w:sz w:val="20"/>
        </w:rPr>
        <w:t> </w:t>
      </w:r>
      <w:r>
        <w:rPr>
          <w:w w:val="90"/>
          <w:sz w:val="20"/>
        </w:rPr>
        <w:t>2026,</w:t>
      </w:r>
      <w:r>
        <w:rPr>
          <w:spacing w:val="4"/>
          <w:sz w:val="20"/>
        </w:rPr>
        <w:t> </w:t>
      </w:r>
      <w:r>
        <w:rPr>
          <w:w w:val="90"/>
          <w:sz w:val="20"/>
        </w:rPr>
        <w:t>μειωμένο</w:t>
      </w:r>
      <w:r>
        <w:rPr>
          <w:spacing w:val="5"/>
          <w:sz w:val="20"/>
        </w:rPr>
        <w:t> </w:t>
      </w:r>
      <w:r>
        <w:rPr>
          <w:w w:val="90"/>
          <w:sz w:val="20"/>
        </w:rPr>
        <w:t>κατά</w:t>
      </w:r>
      <w:r>
        <w:rPr>
          <w:spacing w:val="9"/>
          <w:sz w:val="20"/>
        </w:rPr>
        <w:t> </w:t>
      </w:r>
      <w:r>
        <w:rPr>
          <w:w w:val="90"/>
          <w:sz w:val="20"/>
        </w:rPr>
        <w:t>5</w:t>
      </w:r>
      <w:r>
        <w:rPr>
          <w:spacing w:val="5"/>
          <w:sz w:val="20"/>
        </w:rPr>
        <w:t> </w:t>
      </w:r>
      <w:r>
        <w:rPr>
          <w:w w:val="90"/>
          <w:sz w:val="20"/>
        </w:rPr>
        <w:t>μονάδες</w:t>
      </w:r>
      <w:r>
        <w:rPr>
          <w:spacing w:val="5"/>
          <w:sz w:val="20"/>
        </w:rPr>
        <w:t> </w:t>
      </w:r>
      <w:r>
        <w:rPr>
          <w:spacing w:val="-2"/>
          <w:w w:val="90"/>
          <w:sz w:val="20"/>
        </w:rPr>
        <w:t>βάσης</w:t>
      </w:r>
    </w:p>
    <w:p>
      <w:pPr>
        <w:spacing w:line="249" w:lineRule="auto" w:before="7"/>
        <w:ind w:left="927" w:right="749" w:firstLine="0"/>
        <w:jc w:val="left"/>
        <w:rPr>
          <w:sz w:val="20"/>
        </w:rPr>
      </w:pPr>
      <w:r>
        <w:rPr>
          <w:w w:val="90"/>
          <w:sz w:val="20"/>
        </w:rPr>
        <w:t>τριμηνιαία. Το α’ εξάμηνο το Κόστος Πιστωτικού Κινδύνου ανήλθε σε 42 μ.β. μειωμένο κατά 4 μ.β.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ετησίως.</w:t>
      </w:r>
    </w:p>
    <w:p>
      <w:pPr>
        <w:pStyle w:val="BodyText"/>
        <w:spacing w:before="125"/>
        <w:rPr>
          <w:sz w:val="20"/>
        </w:rPr>
      </w:pPr>
    </w:p>
    <w:tbl>
      <w:tblPr>
        <w:tblW w:w="0" w:type="auto"/>
        <w:jc w:val="left"/>
        <w:tblInd w:w="607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4"/>
        <w:gridCol w:w="300"/>
        <w:gridCol w:w="4820"/>
      </w:tblGrid>
      <w:tr>
        <w:trPr>
          <w:trHeight w:val="446" w:hRule="atLeast"/>
        </w:trPr>
        <w:tc>
          <w:tcPr>
            <w:tcW w:w="485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15" w:lineRule="exact"/>
              <w:ind w:left="112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4"/>
                <w:sz w:val="18"/>
              </w:rPr>
              <w:t>Μεταβολή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στο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Καθαρό</w:t>
            </w:r>
            <w:r>
              <w:rPr>
                <w:rFonts w:ascii="Tahoma" w:hAnsi="Tahoma"/>
                <w:b/>
                <w:spacing w:val="-1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Έσοδο</w:t>
            </w:r>
            <w:r>
              <w:rPr>
                <w:rFonts w:ascii="Tahoma" w:hAnsi="Tahoma"/>
                <w:b/>
                <w:spacing w:val="-1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από</w:t>
            </w:r>
            <w:r>
              <w:rPr>
                <w:rFonts w:ascii="Tahoma" w:hAnsi="Tahoma"/>
                <w:b/>
                <w:spacing w:val="-1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Τόκους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15" w:lineRule="exact"/>
              <w:ind w:left="112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Μεταβολή</w:t>
            </w:r>
            <w:r>
              <w:rPr>
                <w:rFonts w:ascii="Tahoma" w:hAnsi="Tahoma"/>
                <w:b/>
                <w:spacing w:val="-9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στα</w:t>
            </w:r>
            <w:r>
              <w:rPr>
                <w:rFonts w:ascii="Tahoma" w:hAnsi="Tahoma"/>
                <w:b/>
                <w:spacing w:val="-8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Έσοδα</w:t>
            </w:r>
            <w:r>
              <w:rPr>
                <w:rFonts w:ascii="Tahoma" w:hAnsi="Tahoma"/>
                <w:b/>
                <w:spacing w:val="-8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από</w:t>
            </w:r>
            <w:r>
              <w:rPr>
                <w:rFonts w:ascii="Tahoma" w:hAnsi="Tahoma"/>
                <w:b/>
                <w:spacing w:val="-8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αμοιβές</w:t>
            </w:r>
            <w:r>
              <w:rPr>
                <w:rFonts w:ascii="Tahoma" w:hAnsi="Tahoma"/>
                <w:b/>
                <w:spacing w:val="-7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υπηρεσιών</w:t>
            </w:r>
          </w:p>
        </w:tc>
      </w:tr>
      <w:tr>
        <w:trPr>
          <w:trHeight w:val="2541" w:hRule="atLeast"/>
        </w:trPr>
        <w:tc>
          <w:tcPr>
            <w:tcW w:w="4854" w:type="dxa"/>
          </w:tcPr>
          <w:p>
            <w:pPr>
              <w:pStyle w:val="TableParagraph"/>
              <w:spacing w:before="59"/>
              <w:ind w:left="203"/>
              <w:rPr>
                <w:sz w:val="16"/>
              </w:rPr>
            </w:pPr>
            <w:r>
              <w:rPr>
                <w:color w:val="8E8E8E"/>
                <w:spacing w:val="-8"/>
                <w:sz w:val="16"/>
              </w:rPr>
              <w:t>Όμιλος,</w:t>
            </w:r>
            <w:r>
              <w:rPr>
                <w:color w:val="8E8E8E"/>
                <w:sz w:val="16"/>
              </w:rPr>
              <w:t> </w:t>
            </w:r>
            <w:r>
              <w:rPr>
                <w:color w:val="8E8E8E"/>
                <w:spacing w:val="-8"/>
                <w:sz w:val="16"/>
              </w:rPr>
              <w:t>€</w:t>
            </w:r>
            <w:r>
              <w:rPr>
                <w:color w:val="8E8E8E"/>
                <w:spacing w:val="-1"/>
                <w:sz w:val="16"/>
              </w:rPr>
              <w:t> </w:t>
            </w:r>
            <w:r>
              <w:rPr>
                <w:color w:val="8E8E8E"/>
                <w:spacing w:val="-8"/>
                <w:sz w:val="16"/>
              </w:rPr>
              <w:t>εκατ.</w:t>
            </w:r>
          </w:p>
          <w:p>
            <w:pPr>
              <w:pStyle w:val="TableParagraph"/>
              <w:spacing w:before="50"/>
              <w:rPr>
                <w:sz w:val="16"/>
              </w:rPr>
            </w:pPr>
          </w:p>
          <w:p>
            <w:pPr>
              <w:pStyle w:val="TableParagraph"/>
              <w:tabs>
                <w:tab w:pos="1574" w:val="left" w:leader="none"/>
                <w:tab w:pos="2430" w:val="left" w:leader="none"/>
                <w:tab w:pos="3285" w:val="left" w:leader="none"/>
                <w:tab w:pos="4141" w:val="left" w:leader="none"/>
              </w:tabs>
              <w:ind w:left="719"/>
              <w:rPr>
                <w:position w:val="7"/>
                <w:sz w:val="16"/>
              </w:rPr>
            </w:pPr>
            <w:r>
              <w:rPr>
                <w:position w:val="7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2432">
                      <wp:simplePos x="0" y="0"/>
                      <wp:positionH relativeFrom="column">
                        <wp:posOffset>280504</wp:posOffset>
                      </wp:positionH>
                      <wp:positionV relativeFrom="paragraph">
                        <wp:posOffset>145747</wp:posOffset>
                      </wp:positionV>
                      <wp:extent cx="2716530" cy="78359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2716530" cy="783590"/>
                                <a:chExt cx="2716530" cy="78359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1044" y="0"/>
                                  <a:ext cx="2475230" cy="780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5230" h="780415">
                                      <a:moveTo>
                                        <a:pt x="302120" y="66205"/>
                                      </a:moveTo>
                                      <a:lnTo>
                                        <a:pt x="0" y="66205"/>
                                      </a:lnTo>
                                      <a:lnTo>
                                        <a:pt x="0" y="780097"/>
                                      </a:lnTo>
                                      <a:lnTo>
                                        <a:pt x="302120" y="780097"/>
                                      </a:lnTo>
                                      <a:lnTo>
                                        <a:pt x="302120" y="66205"/>
                                      </a:lnTo>
                                      <a:close/>
                                    </a:path>
                                    <a:path w="2475230" h="780415">
                                      <a:moveTo>
                                        <a:pt x="845362" y="61112"/>
                                      </a:moveTo>
                                      <a:lnTo>
                                        <a:pt x="543242" y="61112"/>
                                      </a:lnTo>
                                      <a:lnTo>
                                        <a:pt x="543242" y="780097"/>
                                      </a:lnTo>
                                      <a:lnTo>
                                        <a:pt x="845362" y="780097"/>
                                      </a:lnTo>
                                      <a:lnTo>
                                        <a:pt x="845362" y="61112"/>
                                      </a:lnTo>
                                      <a:close/>
                                    </a:path>
                                    <a:path w="2475230" h="780415">
                                      <a:moveTo>
                                        <a:pt x="1388554" y="40741"/>
                                      </a:moveTo>
                                      <a:lnTo>
                                        <a:pt x="1086446" y="40741"/>
                                      </a:lnTo>
                                      <a:lnTo>
                                        <a:pt x="1086446" y="780097"/>
                                      </a:lnTo>
                                      <a:lnTo>
                                        <a:pt x="1388554" y="780097"/>
                                      </a:lnTo>
                                      <a:lnTo>
                                        <a:pt x="1388554" y="40741"/>
                                      </a:lnTo>
                                      <a:close/>
                                    </a:path>
                                    <a:path w="2475230" h="780415">
                                      <a:moveTo>
                                        <a:pt x="1931758" y="35648"/>
                                      </a:moveTo>
                                      <a:lnTo>
                                        <a:pt x="1629638" y="35648"/>
                                      </a:lnTo>
                                      <a:lnTo>
                                        <a:pt x="1629638" y="780097"/>
                                      </a:lnTo>
                                      <a:lnTo>
                                        <a:pt x="1931758" y="780097"/>
                                      </a:lnTo>
                                      <a:lnTo>
                                        <a:pt x="1931758" y="35648"/>
                                      </a:lnTo>
                                      <a:close/>
                                    </a:path>
                                    <a:path w="2475230" h="780415">
                                      <a:moveTo>
                                        <a:pt x="2474963" y="0"/>
                                      </a:moveTo>
                                      <a:lnTo>
                                        <a:pt x="2172843" y="0"/>
                                      </a:lnTo>
                                      <a:lnTo>
                                        <a:pt x="2172843" y="780097"/>
                                      </a:lnTo>
                                      <a:lnTo>
                                        <a:pt x="2474963" y="780097"/>
                                      </a:lnTo>
                                      <a:lnTo>
                                        <a:pt x="2474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780096"/>
                                  <a:ext cx="2716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6530" h="0">
                                      <a:moveTo>
                                        <a:pt x="0" y="0"/>
                                      </a:moveTo>
                                      <a:lnTo>
                                        <a:pt x="2716042" y="0"/>
                                      </a:lnTo>
                                    </a:path>
                                  </a:pathLst>
                                </a:custGeom>
                                <a:ln w="63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.086954pt;margin-top:11.476148pt;width:213.9pt;height:61.7pt;mso-position-horizontal-relative:column;mso-position-vertical-relative:paragraph;z-index:-18114048" id="docshapegroup11" coordorigin="442,230" coordsize="4278,1234">
                      <v:shape style="position:absolute;left:632;top:229;width:3898;height:1229" id="docshape12" coordorigin="632,230" coordsize="3898,1229" path="m1108,334l632,334,632,1458,1108,1458,1108,334xm1964,326l1488,326,1488,1458,1964,1458,1964,326xm2819,294l2343,294,2343,1458,2819,1458,2819,294xm3675,286l3199,286,3199,1458,3675,1458,3675,286xm4530,230l4054,230,4054,1458,4530,1458,4530,230xe" filled="true" fillcolor="#c5d9f0" stroked="false">
                        <v:path arrowok="t"/>
                        <v:fill type="solid"/>
                      </v:shape>
                      <v:line style="position:absolute" from="442,1458" to="4719,1458" stroked="true" strokeweight=".50120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w w:val="95"/>
                <w:position w:val="-3"/>
                <w:sz w:val="16"/>
              </w:rPr>
              <w:t>399</w:t>
            </w:r>
            <w:r>
              <w:rPr>
                <w:position w:val="-3"/>
                <w:sz w:val="16"/>
              </w:rPr>
              <w:tab/>
            </w:r>
            <w:r>
              <w:rPr>
                <w:spacing w:val="-5"/>
                <w:w w:val="95"/>
                <w:position w:val="-2"/>
                <w:sz w:val="16"/>
              </w:rPr>
              <w:t>402</w:t>
            </w:r>
            <w:r>
              <w:rPr>
                <w:position w:val="-2"/>
                <w:sz w:val="16"/>
              </w:rPr>
              <w:tab/>
            </w:r>
            <w:r>
              <w:rPr>
                <w:spacing w:val="-5"/>
                <w:w w:val="95"/>
                <w:sz w:val="16"/>
              </w:rPr>
              <w:t>413</w:t>
            </w:r>
            <w:r>
              <w:rPr>
                <w:sz w:val="16"/>
              </w:rPr>
              <w:tab/>
            </w:r>
            <w:r>
              <w:rPr>
                <w:spacing w:val="-5"/>
                <w:w w:val="95"/>
                <w:position w:val="1"/>
                <w:sz w:val="16"/>
              </w:rPr>
              <w:t>416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6"/>
                <w:w w:val="95"/>
                <w:position w:val="7"/>
                <w:sz w:val="16"/>
              </w:rPr>
              <w:t>436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36"/>
              <w:rPr>
                <w:sz w:val="16"/>
              </w:rPr>
            </w:pPr>
          </w:p>
          <w:p>
            <w:pPr>
              <w:pStyle w:val="TableParagraph"/>
              <w:spacing w:line="193" w:lineRule="exact"/>
              <w:ind w:left="3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Β’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2"/>
                <w:sz w:val="16"/>
              </w:rPr>
              <w:t>τρίμηνο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2"/>
                <w:sz w:val="16"/>
              </w:rPr>
              <w:t>Γ’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τρίμηνο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Δ’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τρίμηνο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2"/>
                <w:sz w:val="16"/>
              </w:rPr>
              <w:t>Α’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τρίμηνο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Β’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τρίμηνο</w:t>
            </w:r>
          </w:p>
          <w:p>
            <w:pPr>
              <w:pStyle w:val="TableParagraph"/>
              <w:tabs>
                <w:tab w:pos="1170" w:val="left" w:leader="none"/>
                <w:tab w:pos="2026" w:val="left" w:leader="none"/>
                <w:tab w:pos="2881" w:val="left" w:leader="none"/>
                <w:tab w:pos="3737" w:val="left" w:leader="none"/>
              </w:tabs>
              <w:spacing w:line="193" w:lineRule="exact"/>
              <w:ind w:left="315"/>
              <w:jc w:val="center"/>
              <w:rPr>
                <w:sz w:val="16"/>
              </w:rPr>
            </w:pPr>
            <w:r>
              <w:rPr>
                <w:spacing w:val="-4"/>
                <w:w w:val="95"/>
                <w:sz w:val="16"/>
              </w:rPr>
              <w:t>2025</w:t>
            </w:r>
            <w:r>
              <w:rPr>
                <w:sz w:val="16"/>
              </w:rPr>
              <w:tab/>
            </w:r>
            <w:r>
              <w:rPr>
                <w:spacing w:val="-4"/>
                <w:w w:val="95"/>
                <w:sz w:val="16"/>
              </w:rPr>
              <w:t>2025</w:t>
            </w:r>
            <w:r>
              <w:rPr>
                <w:sz w:val="16"/>
              </w:rPr>
              <w:tab/>
            </w:r>
            <w:r>
              <w:rPr>
                <w:spacing w:val="-4"/>
                <w:w w:val="95"/>
                <w:sz w:val="16"/>
              </w:rPr>
              <w:t>2025</w:t>
            </w:r>
            <w:r>
              <w:rPr>
                <w:sz w:val="16"/>
              </w:rPr>
              <w:tab/>
            </w:r>
            <w:r>
              <w:rPr>
                <w:spacing w:val="7"/>
                <w:w w:val="95"/>
                <w:sz w:val="16"/>
              </w:rPr>
              <w:t>2026</w:t>
            </w:r>
            <w:r>
              <w:rPr>
                <w:sz w:val="16"/>
              </w:rPr>
              <w:tab/>
            </w:r>
            <w:r>
              <w:rPr>
                <w:spacing w:val="7"/>
                <w:w w:val="95"/>
                <w:sz w:val="16"/>
              </w:rPr>
              <w:t>2026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>
            <w:pPr>
              <w:pStyle w:val="TableParagraph"/>
              <w:spacing w:before="113"/>
              <w:ind w:left="97"/>
              <w:rPr>
                <w:sz w:val="15"/>
              </w:rPr>
            </w:pPr>
            <w:r>
              <w:rPr>
                <w:color w:val="8E8E8E"/>
                <w:w w:val="90"/>
                <w:sz w:val="15"/>
              </w:rPr>
              <w:t>Όμιλος,</w:t>
            </w:r>
            <w:r>
              <w:rPr>
                <w:color w:val="8E8E8E"/>
                <w:spacing w:val="-7"/>
                <w:w w:val="90"/>
                <w:sz w:val="15"/>
              </w:rPr>
              <w:t> </w:t>
            </w:r>
            <w:r>
              <w:rPr>
                <w:color w:val="8E8E8E"/>
                <w:w w:val="90"/>
                <w:sz w:val="15"/>
              </w:rPr>
              <w:t>€</w:t>
            </w:r>
            <w:r>
              <w:rPr>
                <w:color w:val="8E8E8E"/>
                <w:spacing w:val="-6"/>
                <w:w w:val="90"/>
                <w:sz w:val="15"/>
              </w:rPr>
              <w:t> </w:t>
            </w:r>
            <w:r>
              <w:rPr>
                <w:color w:val="8E8E8E"/>
                <w:spacing w:val="-2"/>
                <w:w w:val="90"/>
                <w:sz w:val="15"/>
              </w:rPr>
              <w:t>εκατ.</w:t>
            </w:r>
          </w:p>
          <w:p>
            <w:pPr>
              <w:pStyle w:val="TableParagraph"/>
              <w:spacing w:before="30"/>
              <w:rPr>
                <w:sz w:val="15"/>
              </w:rPr>
            </w:pPr>
          </w:p>
          <w:p>
            <w:pPr>
              <w:pStyle w:val="TableParagraph"/>
              <w:spacing w:before="1"/>
              <w:ind w:right="416"/>
              <w:jc w:val="right"/>
              <w:rPr>
                <w:sz w:val="15"/>
              </w:rPr>
            </w:pPr>
            <w:r>
              <w:rPr>
                <w:spacing w:val="5"/>
                <w:w w:val="95"/>
                <w:sz w:val="15"/>
              </w:rPr>
              <w:t>187</w:t>
            </w:r>
          </w:p>
          <w:p>
            <w:pPr>
              <w:pStyle w:val="TableParagraph"/>
              <w:tabs>
                <w:tab w:pos="1428" w:val="left" w:leader="none"/>
                <w:tab w:pos="2325" w:val="left" w:leader="none"/>
                <w:tab w:pos="3222" w:val="left" w:leader="none"/>
              </w:tabs>
              <w:spacing w:before="131"/>
              <w:ind w:left="532"/>
              <w:rPr>
                <w:position w:val="3"/>
                <w:sz w:val="15"/>
              </w:rPr>
            </w:pPr>
            <w:r>
              <w:rPr>
                <w:position w:val="3"/>
                <w:sz w:val="1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2944">
                      <wp:simplePos x="0" y="0"/>
                      <wp:positionH relativeFrom="column">
                        <wp:posOffset>138787</wp:posOffset>
                      </wp:positionH>
                      <wp:positionV relativeFrom="paragraph">
                        <wp:posOffset>19296</wp:posOffset>
                      </wp:positionV>
                      <wp:extent cx="2847340" cy="79502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2847340" cy="795020"/>
                                <a:chExt cx="2847340" cy="7950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6845" y="8"/>
                                  <a:ext cx="2594610" cy="791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4610" h="791845">
                                      <a:moveTo>
                                        <a:pt x="316661" y="218706"/>
                                      </a:moveTo>
                                      <a:lnTo>
                                        <a:pt x="0" y="218706"/>
                                      </a:lnTo>
                                      <a:lnTo>
                                        <a:pt x="0" y="791362"/>
                                      </a:lnTo>
                                      <a:lnTo>
                                        <a:pt x="316661" y="791362"/>
                                      </a:lnTo>
                                      <a:lnTo>
                                        <a:pt x="316661" y="218706"/>
                                      </a:lnTo>
                                      <a:close/>
                                    </a:path>
                                    <a:path w="2594610" h="791845">
                                      <a:moveTo>
                                        <a:pt x="886142" y="276377"/>
                                      </a:moveTo>
                                      <a:lnTo>
                                        <a:pt x="569480" y="276377"/>
                                      </a:lnTo>
                                      <a:lnTo>
                                        <a:pt x="569480" y="791362"/>
                                      </a:lnTo>
                                      <a:lnTo>
                                        <a:pt x="886142" y="791362"/>
                                      </a:lnTo>
                                      <a:lnTo>
                                        <a:pt x="886142" y="276377"/>
                                      </a:lnTo>
                                      <a:close/>
                                    </a:path>
                                    <a:path w="2594610" h="791845">
                                      <a:moveTo>
                                        <a:pt x="1455585" y="214731"/>
                                      </a:moveTo>
                                      <a:lnTo>
                                        <a:pt x="1138923" y="214731"/>
                                      </a:lnTo>
                                      <a:lnTo>
                                        <a:pt x="1138923" y="791362"/>
                                      </a:lnTo>
                                      <a:lnTo>
                                        <a:pt x="1455585" y="791362"/>
                                      </a:lnTo>
                                      <a:lnTo>
                                        <a:pt x="1455585" y="214731"/>
                                      </a:lnTo>
                                      <a:close/>
                                    </a:path>
                                    <a:path w="2594610" h="791845">
                                      <a:moveTo>
                                        <a:pt x="2025027" y="199821"/>
                                      </a:moveTo>
                                      <a:lnTo>
                                        <a:pt x="1708365" y="199821"/>
                                      </a:lnTo>
                                      <a:lnTo>
                                        <a:pt x="1708365" y="791362"/>
                                      </a:lnTo>
                                      <a:lnTo>
                                        <a:pt x="2025027" y="791362"/>
                                      </a:lnTo>
                                      <a:lnTo>
                                        <a:pt x="2025027" y="199821"/>
                                      </a:lnTo>
                                      <a:close/>
                                    </a:path>
                                    <a:path w="2594610" h="791845">
                                      <a:moveTo>
                                        <a:pt x="2594470" y="0"/>
                                      </a:moveTo>
                                      <a:lnTo>
                                        <a:pt x="2277808" y="0"/>
                                      </a:lnTo>
                                      <a:lnTo>
                                        <a:pt x="2277808" y="791362"/>
                                      </a:lnTo>
                                      <a:lnTo>
                                        <a:pt x="2594470" y="791362"/>
                                      </a:lnTo>
                                      <a:lnTo>
                                        <a:pt x="25944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791365"/>
                                  <a:ext cx="28473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7340" h="0">
                                      <a:moveTo>
                                        <a:pt x="0" y="0"/>
                                      </a:moveTo>
                                      <a:lnTo>
                                        <a:pt x="2847263" y="0"/>
                                      </a:lnTo>
                                    </a:path>
                                  </a:pathLst>
                                </a:custGeom>
                                <a:ln w="62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928162pt;margin-top:1.519427pt;width:224.2pt;height:62.6pt;mso-position-horizontal-relative:column;mso-position-vertical-relative:paragraph;z-index:-18113536" id="docshapegroup13" coordorigin="219,30" coordsize="4484,1252">
                      <v:shape style="position:absolute;left:418;top:30;width:4086;height:1247" id="docshape14" coordorigin="418,30" coordsize="4086,1247" path="m917,375l418,375,418,1277,917,1277,917,375xm1814,466l1315,466,1315,1277,1814,1277,1814,466xm2711,369l2212,369,2212,1277,2711,1277,2711,369xm3607,345l3109,345,3109,1277,3607,1277,3607,345xm4504,30l4005,30,4005,1277,4504,1277,4504,30xe" filled="true" fillcolor="#c5d9f0" stroked="false">
                        <v:path arrowok="t"/>
                        <v:fill type="solid"/>
                      </v:shape>
                      <v:line style="position:absolute" from="219,1277" to="4702,1277" stroked="true" strokeweight=".48925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w w:val="95"/>
                <w:sz w:val="15"/>
              </w:rPr>
              <w:t>135</w:t>
            </w:r>
            <w:r>
              <w:rPr>
                <w:sz w:val="15"/>
              </w:rPr>
              <w:tab/>
            </w:r>
            <w:r>
              <w:rPr>
                <w:spacing w:val="-5"/>
                <w:w w:val="95"/>
                <w:position w:val="-8"/>
                <w:sz w:val="15"/>
              </w:rPr>
              <w:t>122</w:t>
            </w:r>
            <w:r>
              <w:rPr>
                <w:position w:val="-8"/>
                <w:sz w:val="15"/>
              </w:rPr>
              <w:tab/>
            </w:r>
            <w:r>
              <w:rPr>
                <w:spacing w:val="-5"/>
                <w:w w:val="95"/>
                <w:position w:val="1"/>
                <w:sz w:val="15"/>
              </w:rPr>
              <w:t>136</w:t>
            </w:r>
            <w:r>
              <w:rPr>
                <w:position w:val="1"/>
                <w:sz w:val="15"/>
              </w:rPr>
              <w:tab/>
            </w:r>
            <w:r>
              <w:rPr>
                <w:spacing w:val="5"/>
                <w:w w:val="95"/>
                <w:position w:val="3"/>
                <w:sz w:val="15"/>
              </w:rPr>
              <w:t>140</w:t>
            </w: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spacing w:before="168"/>
              <w:rPr>
                <w:sz w:val="15"/>
              </w:rPr>
            </w:pPr>
          </w:p>
          <w:p>
            <w:pPr>
              <w:pStyle w:val="TableParagraph"/>
              <w:tabs>
                <w:tab w:pos="1019" w:val="left" w:leader="none"/>
              </w:tabs>
              <w:ind w:left="115"/>
              <w:jc w:val="center"/>
              <w:rPr>
                <w:sz w:val="15"/>
              </w:rPr>
            </w:pPr>
            <w:r>
              <w:rPr>
                <w:sz w:val="15"/>
              </w:rPr>
              <w:t>Β’</w:t>
            </w:r>
            <w:r>
              <w:rPr>
                <w:spacing w:val="-13"/>
                <w:sz w:val="15"/>
              </w:rPr>
              <w:t> </w:t>
            </w:r>
            <w:r>
              <w:rPr>
                <w:spacing w:val="-2"/>
                <w:sz w:val="15"/>
              </w:rPr>
              <w:t>τρίμηνο</w:t>
            </w:r>
            <w:r>
              <w:rPr>
                <w:sz w:val="15"/>
              </w:rPr>
              <w:tab/>
              <w:t>Γ’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τρίμηνο</w:t>
            </w:r>
            <w:r>
              <w:rPr>
                <w:spacing w:val="54"/>
                <w:w w:val="150"/>
                <w:sz w:val="15"/>
              </w:rPr>
              <w:t> </w:t>
            </w:r>
            <w:r>
              <w:rPr>
                <w:sz w:val="15"/>
              </w:rPr>
              <w:t>Δ’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τρίμηνο</w:t>
            </w:r>
            <w:r>
              <w:rPr>
                <w:spacing w:val="73"/>
                <w:sz w:val="15"/>
              </w:rPr>
              <w:t> </w:t>
            </w:r>
            <w:r>
              <w:rPr>
                <w:sz w:val="15"/>
              </w:rPr>
              <w:t>Α’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τρίμηνο</w:t>
            </w:r>
            <w:r>
              <w:rPr>
                <w:spacing w:val="79"/>
                <w:sz w:val="15"/>
              </w:rPr>
              <w:t> </w:t>
            </w:r>
            <w:r>
              <w:rPr>
                <w:sz w:val="15"/>
              </w:rPr>
              <w:t>Β’</w:t>
            </w:r>
            <w:r>
              <w:rPr>
                <w:spacing w:val="-13"/>
                <w:sz w:val="15"/>
              </w:rPr>
              <w:t> </w:t>
            </w:r>
            <w:r>
              <w:rPr>
                <w:spacing w:val="-2"/>
                <w:sz w:val="15"/>
              </w:rPr>
              <w:t>τρίμηνο</w:t>
            </w:r>
          </w:p>
          <w:p>
            <w:pPr>
              <w:pStyle w:val="TableParagraph"/>
              <w:tabs>
                <w:tab w:pos="1007" w:val="left" w:leader="none"/>
                <w:tab w:pos="1904" w:val="left" w:leader="none"/>
                <w:tab w:pos="2801" w:val="left" w:leader="none"/>
                <w:tab w:pos="3698" w:val="left" w:leader="none"/>
              </w:tabs>
              <w:spacing w:before="6"/>
              <w:ind w:left="110"/>
              <w:jc w:val="center"/>
              <w:rPr>
                <w:sz w:val="15"/>
              </w:rPr>
            </w:pPr>
            <w:r>
              <w:rPr>
                <w:spacing w:val="-4"/>
                <w:w w:val="95"/>
                <w:sz w:val="15"/>
              </w:rPr>
              <w:t>2025</w:t>
            </w:r>
            <w:r>
              <w:rPr>
                <w:sz w:val="15"/>
              </w:rPr>
              <w:tab/>
            </w:r>
            <w:r>
              <w:rPr>
                <w:spacing w:val="-4"/>
                <w:w w:val="95"/>
                <w:sz w:val="15"/>
              </w:rPr>
              <w:t>2025</w:t>
            </w:r>
            <w:r>
              <w:rPr>
                <w:sz w:val="15"/>
              </w:rPr>
              <w:tab/>
            </w:r>
            <w:r>
              <w:rPr>
                <w:spacing w:val="-4"/>
                <w:w w:val="95"/>
                <w:sz w:val="15"/>
              </w:rPr>
              <w:t>2025</w:t>
            </w:r>
            <w:r>
              <w:rPr>
                <w:sz w:val="15"/>
              </w:rPr>
              <w:tab/>
            </w:r>
            <w:r>
              <w:rPr>
                <w:spacing w:val="6"/>
                <w:w w:val="95"/>
                <w:sz w:val="15"/>
              </w:rPr>
              <w:t>2026</w:t>
            </w:r>
            <w:r>
              <w:rPr>
                <w:sz w:val="15"/>
              </w:rPr>
              <w:tab/>
            </w:r>
            <w:r>
              <w:rPr>
                <w:spacing w:val="6"/>
                <w:w w:val="95"/>
                <w:sz w:val="15"/>
              </w:rPr>
              <w:t>2026</w:t>
            </w:r>
          </w:p>
        </w:tc>
      </w:tr>
    </w:tbl>
    <w:p>
      <w:pPr>
        <w:pStyle w:val="TableParagraph"/>
        <w:spacing w:after="0"/>
        <w:jc w:val="center"/>
        <w:rPr>
          <w:sz w:val="15"/>
        </w:rPr>
        <w:sectPr>
          <w:pgSz w:w="11920" w:h="16850"/>
          <w:pgMar w:header="639" w:footer="648" w:top="1260" w:bottom="840" w:left="283" w:right="425"/>
        </w:sect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50"/>
          <w:pgMar w:header="639" w:footer="648" w:top="1260" w:bottom="840" w:left="283" w:right="425"/>
        </w:sectPr>
      </w:pPr>
    </w:p>
    <w:p>
      <w:pPr>
        <w:pStyle w:val="Heading3"/>
        <w:spacing w:line="244" w:lineRule="auto" w:before="100"/>
        <w:ind w:left="677" w:right="38"/>
      </w:pPr>
      <w:r>
        <w:rPr>
          <w:spacing w:val="-2"/>
        </w:rPr>
        <w:t>Μεταβολή</w:t>
      </w:r>
      <w:r>
        <w:rPr>
          <w:spacing w:val="-5"/>
        </w:rPr>
        <w:t> </w:t>
      </w:r>
      <w:r>
        <w:rPr>
          <w:spacing w:val="-2"/>
        </w:rPr>
        <w:t>στα</w:t>
      </w:r>
      <w:r>
        <w:rPr>
          <w:spacing w:val="-5"/>
        </w:rPr>
        <w:t> </w:t>
      </w:r>
      <w:r>
        <w:rPr>
          <w:spacing w:val="-2"/>
        </w:rPr>
        <w:t>Επαναλαμβανόμενα</w:t>
      </w:r>
      <w:r>
        <w:rPr>
          <w:spacing w:val="-5"/>
        </w:rPr>
        <w:t> </w:t>
      </w:r>
      <w:r>
        <w:rPr>
          <w:spacing w:val="-2"/>
        </w:rPr>
        <w:t>Λειτουργικά </w:t>
      </w:r>
      <w:r>
        <w:rPr>
          <w:spacing w:val="-4"/>
        </w:rPr>
        <w:t>Έξοδα</w:t>
      </w:r>
    </w:p>
    <w:p>
      <w:pPr>
        <w:spacing w:before="98"/>
        <w:ind w:left="677" w:right="0" w:firstLine="0"/>
        <w:jc w:val="left"/>
        <w:rPr>
          <w:rFonts w:ascii="Tahoma" w:hAnsi="Tahoma"/>
          <w:b/>
          <w:sz w:val="18"/>
        </w:rPr>
      </w:pPr>
      <w:r>
        <w:rPr/>
        <w:br w:type="column"/>
      </w:r>
      <w:r>
        <w:rPr>
          <w:rFonts w:ascii="Tahoma" w:hAnsi="Tahoma"/>
          <w:b/>
          <w:spacing w:val="-4"/>
          <w:sz w:val="18"/>
        </w:rPr>
        <w:t>Μεταβολή</w:t>
      </w:r>
      <w:r>
        <w:rPr>
          <w:rFonts w:ascii="Tahoma" w:hAnsi="Tahoma"/>
          <w:b/>
          <w:spacing w:val="-5"/>
          <w:sz w:val="18"/>
        </w:rPr>
        <w:t> </w:t>
      </w:r>
      <w:r>
        <w:rPr>
          <w:rFonts w:ascii="Tahoma" w:hAnsi="Tahoma"/>
          <w:b/>
          <w:spacing w:val="-4"/>
          <w:sz w:val="18"/>
        </w:rPr>
        <w:t>στο Κόστος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spacing w:val="-4"/>
          <w:sz w:val="18"/>
        </w:rPr>
        <w:t>Πιστωτικού Κινδύνου</w:t>
      </w:r>
    </w:p>
    <w:p>
      <w:pPr>
        <w:spacing w:after="0"/>
        <w:jc w:val="left"/>
        <w:rPr>
          <w:rFonts w:ascii="Tahoma" w:hAnsi="Tahoma"/>
          <w:b/>
          <w:sz w:val="18"/>
        </w:rPr>
        <w:sectPr>
          <w:type w:val="continuous"/>
          <w:pgSz w:w="11920" w:h="16850"/>
          <w:pgMar w:header="639" w:footer="648" w:top="1940" w:bottom="280" w:left="283" w:right="425"/>
          <w:cols w:num="2" w:equalWidth="0">
            <w:col w:w="4904" w:space="250"/>
            <w:col w:w="6058"/>
          </w:cols>
        </w:sectPr>
      </w:pPr>
    </w:p>
    <w:p>
      <w:pPr>
        <w:tabs>
          <w:tab w:pos="5716" w:val="left" w:leader="none"/>
        </w:tabs>
        <w:spacing w:line="240" w:lineRule="auto"/>
        <w:ind w:left="561" w:right="0" w:firstLine="0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3088640" cy="1507490"/>
                <wp:effectExtent l="0" t="0" r="0" b="6984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088640" cy="1507490"/>
                          <a:chExt cx="3088640" cy="15074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5" y="6096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30886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6350">
                                <a:moveTo>
                                  <a:pt x="1217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12179" y="609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3088640" h="6350">
                                <a:moveTo>
                                  <a:pt x="3088246" y="0"/>
                                </a:moveTo>
                                <a:lnTo>
                                  <a:pt x="3082163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6096"/>
                                </a:lnTo>
                                <a:lnTo>
                                  <a:pt x="3082163" y="6096"/>
                                </a:lnTo>
                                <a:lnTo>
                                  <a:pt x="3088246" y="6096"/>
                                </a:lnTo>
                                <a:lnTo>
                                  <a:pt x="308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6095"/>
                            <a:ext cx="6350" cy="150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50114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5044"/>
                                </a:lnTo>
                                <a:lnTo>
                                  <a:pt x="0" y="1501140"/>
                                </a:lnTo>
                                <a:lnTo>
                                  <a:pt x="6096" y="1501140"/>
                                </a:lnTo>
                                <a:lnTo>
                                  <a:pt x="6096" y="149504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6095"/>
                            <a:ext cx="3088640" cy="150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1501140">
                                <a:moveTo>
                                  <a:pt x="3088246" y="0"/>
                                </a:moveTo>
                                <a:lnTo>
                                  <a:pt x="3082163" y="0"/>
                                </a:lnTo>
                                <a:lnTo>
                                  <a:pt x="3082163" y="1495044"/>
                                </a:lnTo>
                                <a:lnTo>
                                  <a:pt x="6096" y="1495044"/>
                                </a:lnTo>
                                <a:lnTo>
                                  <a:pt x="0" y="1495044"/>
                                </a:lnTo>
                                <a:lnTo>
                                  <a:pt x="0" y="1501140"/>
                                </a:lnTo>
                                <a:lnTo>
                                  <a:pt x="6096" y="1501140"/>
                                </a:lnTo>
                                <a:lnTo>
                                  <a:pt x="3082163" y="1501140"/>
                                </a:lnTo>
                                <a:lnTo>
                                  <a:pt x="3088246" y="1501140"/>
                                </a:lnTo>
                                <a:lnTo>
                                  <a:pt x="3088246" y="1495044"/>
                                </a:lnTo>
                                <a:lnTo>
                                  <a:pt x="308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2818" y="411149"/>
                            <a:ext cx="2516505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6505" h="783590">
                                <a:moveTo>
                                  <a:pt x="307149" y="91287"/>
                                </a:moveTo>
                                <a:lnTo>
                                  <a:pt x="0" y="91287"/>
                                </a:lnTo>
                                <a:lnTo>
                                  <a:pt x="0" y="783082"/>
                                </a:lnTo>
                                <a:lnTo>
                                  <a:pt x="307149" y="783082"/>
                                </a:lnTo>
                                <a:lnTo>
                                  <a:pt x="307149" y="91287"/>
                                </a:lnTo>
                                <a:close/>
                              </a:path>
                              <a:path w="2516505" h="783590">
                                <a:moveTo>
                                  <a:pt x="859421" y="93078"/>
                                </a:moveTo>
                                <a:lnTo>
                                  <a:pt x="552234" y="93078"/>
                                </a:lnTo>
                                <a:lnTo>
                                  <a:pt x="552234" y="783082"/>
                                </a:lnTo>
                                <a:lnTo>
                                  <a:pt x="859421" y="783082"/>
                                </a:lnTo>
                                <a:lnTo>
                                  <a:pt x="859421" y="93078"/>
                                </a:lnTo>
                                <a:close/>
                              </a:path>
                              <a:path w="2516505" h="783590">
                                <a:moveTo>
                                  <a:pt x="1411655" y="20586"/>
                                </a:moveTo>
                                <a:lnTo>
                                  <a:pt x="1104519" y="20586"/>
                                </a:lnTo>
                                <a:lnTo>
                                  <a:pt x="1104519" y="783082"/>
                                </a:lnTo>
                                <a:lnTo>
                                  <a:pt x="1411655" y="783082"/>
                                </a:lnTo>
                                <a:lnTo>
                                  <a:pt x="1411655" y="20586"/>
                                </a:lnTo>
                                <a:close/>
                              </a:path>
                              <a:path w="2516505" h="783590">
                                <a:moveTo>
                                  <a:pt x="1963889" y="36703"/>
                                </a:moveTo>
                                <a:lnTo>
                                  <a:pt x="1656753" y="36703"/>
                                </a:lnTo>
                                <a:lnTo>
                                  <a:pt x="1656753" y="783082"/>
                                </a:lnTo>
                                <a:lnTo>
                                  <a:pt x="1963889" y="783082"/>
                                </a:lnTo>
                                <a:lnTo>
                                  <a:pt x="1963889" y="36703"/>
                                </a:lnTo>
                                <a:close/>
                              </a:path>
                              <a:path w="2516505" h="783590">
                                <a:moveTo>
                                  <a:pt x="2516124" y="0"/>
                                </a:moveTo>
                                <a:lnTo>
                                  <a:pt x="2208987" y="0"/>
                                </a:lnTo>
                                <a:lnTo>
                                  <a:pt x="2208987" y="783082"/>
                                </a:lnTo>
                                <a:lnTo>
                                  <a:pt x="2516124" y="783082"/>
                                </a:lnTo>
                                <a:lnTo>
                                  <a:pt x="2516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0800" y="1194226"/>
                            <a:ext cx="276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0345" h="0">
                                <a:moveTo>
                                  <a:pt x="0" y="0"/>
                                </a:moveTo>
                                <a:lnTo>
                                  <a:pt x="2760180" y="0"/>
                                </a:lnTo>
                              </a:path>
                            </a:pathLst>
                          </a:custGeom>
                          <a:ln w="55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35806" y="33431"/>
                            <a:ext cx="754380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8E8E8E"/>
                                  <w:w w:val="105"/>
                                  <w:sz w:val="14"/>
                                </w:rPr>
                                <w:t>Όμιλος,</w:t>
                              </w:r>
                              <w:r>
                                <w:rPr>
                                  <w:color w:val="8E8E8E"/>
                                  <w:spacing w:val="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w w:val="105"/>
                                  <w:sz w:val="14"/>
                                </w:rPr>
                                <w:t>€</w:t>
                              </w:r>
                              <w:r>
                                <w:rPr>
                                  <w:color w:val="8E8E8E"/>
                                  <w:spacing w:val="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05"/>
                                  <w:sz w:val="14"/>
                                </w:rPr>
                                <w:t>εκατ.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40" w:lineRule="auto" w:before="33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51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911416" y="379263"/>
                            <a:ext cx="208279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463875" y="307489"/>
                            <a:ext cx="208279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016109" y="323076"/>
                            <a:ext cx="208279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568516" y="287305"/>
                            <a:ext cx="208279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05715" y="1223236"/>
                            <a:ext cx="272605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-1" w:right="18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Β’</w:t>
                              </w:r>
                              <w:r>
                                <w:rPr>
                                  <w:spacing w:val="-15"/>
                                  <w:w w:val="1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τρίμηνο</w:t>
                              </w:r>
                              <w:r>
                                <w:rPr>
                                  <w:spacing w:val="-2"/>
                                  <w:w w:val="1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Γ’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τρίμηνο</w:t>
                              </w:r>
                              <w:r>
                                <w:rPr>
                                  <w:spacing w:val="-6"/>
                                  <w:w w:val="1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Δ’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τρίμηνο</w:t>
                              </w:r>
                              <w:r>
                                <w:rPr>
                                  <w:spacing w:val="-15"/>
                                  <w:w w:val="1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Α’</w:t>
                              </w:r>
                              <w:r>
                                <w:rPr>
                                  <w:spacing w:val="-11"/>
                                  <w:w w:val="1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τρίμηνο</w:t>
                              </w:r>
                              <w:r>
                                <w:rPr>
                                  <w:spacing w:val="-9"/>
                                  <w:w w:val="1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Β’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15"/>
                                  <w:sz w:val="14"/>
                                </w:rPr>
                                <w:t>τρίμηνο</w:t>
                              </w:r>
                            </w:p>
                            <w:p>
                              <w:pPr>
                                <w:tabs>
                                  <w:tab w:pos="869" w:val="left" w:leader="none"/>
                                  <w:tab w:pos="1739" w:val="left" w:leader="none"/>
                                  <w:tab w:pos="2607" w:val="left" w:leader="none"/>
                                  <w:tab w:pos="3478" w:val="left" w:leader="none"/>
                                </w:tabs>
                                <w:spacing w:line="170" w:lineRule="exact" w:before="0"/>
                                <w:ind w:left="0" w:right="23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2025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2025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2025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2026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3.2pt;height:118.7pt;mso-position-horizontal-relative:char;mso-position-vertical-relative:line" id="docshapegroup15" coordorigin="0,0" coordsize="4864,2374">
                <v:rect style="position:absolute;left:0;top:0;width:10;height:10" id="docshape16" filled="true" fillcolor="#000000" stroked="false">
                  <v:fill type="solid"/>
                </v:rect>
                <v:shape style="position:absolute;left:0;top:0;width:4864;height:10" id="docshape17" coordorigin="0,0" coordsize="4864,10" path="m19,0l10,0,0,0,0,10,10,10,19,10,19,0xm4863,0l4854,0,19,0,19,10,4854,10,4863,10,4863,0xe" filled="true" fillcolor="#4f81bc" stroked="false">
                  <v:path arrowok="t"/>
                  <v:fill type="solid"/>
                </v:shape>
                <v:shape style="position:absolute;left:0;top:9;width:10;height:2364" id="docshape18" coordorigin="0,10" coordsize="10,2364" path="m10,10l0,10,0,2364,0,2374,10,2374,10,2364,10,10xe" filled="true" fillcolor="#000000" stroked="false">
                  <v:path arrowok="t"/>
                  <v:fill type="solid"/>
                </v:shape>
                <v:shape style="position:absolute;left:0;top:9;width:4864;height:2364" id="docshape19" coordorigin="0,10" coordsize="4864,2364" path="m4863,10l4854,10,4854,2364,10,2364,0,2364,0,2374,10,2374,4854,2374,4863,2374,4863,2364,4863,10xe" filled="true" fillcolor="#4f81bc" stroked="false">
                  <v:path arrowok="t"/>
                  <v:fill type="solid"/>
                </v:shape>
                <v:shape style="position:absolute;left:476;top:647;width:3963;height:1234" id="docshape20" coordorigin="477,647" coordsize="3963,1234" path="m961,791l477,791,477,1881,961,1881,961,791xm1830,794l1347,794,1347,1881,1830,1881,1830,794xm2700,680l2216,680,2216,1881,2700,1881,2700,680xm3570,705l3086,705,3086,1881,3570,1881,3570,705xm4439,647l3956,647,3956,1881,4439,1881,4439,647xe" filled="true" fillcolor="#c5d9f0" stroked="false">
                  <v:path arrowok="t"/>
                  <v:fill type="solid"/>
                </v:shape>
                <v:line style="position:absolute" from="285,1881" to="4631,1881" stroked="true" strokeweight=".440439pt" strokecolor="#000000">
                  <v:stroke dashstyle="solid"/>
                </v:line>
                <v:shape style="position:absolute;left:213;top:52;width:1188;height:719" type="#_x0000_t202" id="docshape21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8E8E8E"/>
                            <w:w w:val="105"/>
                            <w:sz w:val="14"/>
                          </w:rPr>
                          <w:t>Όμιλος,</w:t>
                        </w:r>
                        <w:r>
                          <w:rPr>
                            <w:color w:val="8E8E8E"/>
                            <w:spacing w:val="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8E8E8E"/>
                            <w:w w:val="105"/>
                            <w:sz w:val="14"/>
                          </w:rPr>
                          <w:t>€</w:t>
                        </w:r>
                        <w:r>
                          <w:rPr>
                            <w:color w:val="8E8E8E"/>
                            <w:spacing w:val="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8E8E8E"/>
                            <w:spacing w:val="-2"/>
                            <w:w w:val="105"/>
                            <w:sz w:val="14"/>
                          </w:rPr>
                          <w:t>εκατ.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40" w:lineRule="auto" w:before="33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before="0"/>
                          <w:ind w:left="351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212</w:t>
                        </w:r>
                      </w:p>
                    </w:txbxContent>
                  </v:textbox>
                  <w10:wrap type="none"/>
                </v:shape>
                <v:shape style="position:absolute;left:1435;top:597;width:328;height:175" type="#_x0000_t202" id="docshape22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211</w:t>
                        </w:r>
                      </w:p>
                    </w:txbxContent>
                  </v:textbox>
                  <w10:wrap type="none"/>
                </v:shape>
                <v:shape style="position:absolute;left:2305;top:484;width:328;height:175" type="#_x0000_t202" id="docshape23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233</w:t>
                        </w:r>
                      </w:p>
                    </w:txbxContent>
                  </v:textbox>
                  <w10:wrap type="none"/>
                </v:shape>
                <v:shape style="position:absolute;left:3174;top:508;width:328;height:175" type="#_x0000_t202" id="docshape24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228</w:t>
                        </w:r>
                      </w:p>
                    </w:txbxContent>
                  </v:textbox>
                  <w10:wrap type="none"/>
                </v:shape>
                <v:shape style="position:absolute;left:4044;top:452;width:328;height:175" type="#_x0000_t202" id="docshape25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240</w:t>
                        </w:r>
                      </w:p>
                    </w:txbxContent>
                  </v:textbox>
                  <w10:wrap type="none"/>
                </v:shape>
                <v:shape style="position:absolute;left:323;top:1926;width:4293;height:344" type="#_x0000_t202" id="docshape26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-1" w:right="18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Β’</w:t>
                        </w:r>
                        <w:r>
                          <w:rPr>
                            <w:spacing w:val="-15"/>
                            <w:w w:val="115"/>
                            <w:sz w:val="14"/>
                          </w:rPr>
                          <w:t> </w:t>
                        </w:r>
                        <w:r>
                          <w:rPr>
                            <w:w w:val="115"/>
                            <w:sz w:val="14"/>
                          </w:rPr>
                          <w:t>τρίμηνο</w:t>
                        </w:r>
                        <w:r>
                          <w:rPr>
                            <w:spacing w:val="-2"/>
                            <w:w w:val="115"/>
                            <w:sz w:val="14"/>
                          </w:rPr>
                          <w:t> </w:t>
                        </w:r>
                        <w:r>
                          <w:rPr>
                            <w:w w:val="115"/>
                            <w:sz w:val="14"/>
                          </w:rPr>
                          <w:t>Γ’</w:t>
                        </w:r>
                        <w:r>
                          <w:rPr>
                            <w:spacing w:val="-11"/>
                            <w:w w:val="115"/>
                            <w:sz w:val="14"/>
                          </w:rPr>
                          <w:t> </w:t>
                        </w:r>
                        <w:r>
                          <w:rPr>
                            <w:w w:val="115"/>
                            <w:sz w:val="14"/>
                          </w:rPr>
                          <w:t>τρίμηνο</w:t>
                        </w:r>
                        <w:r>
                          <w:rPr>
                            <w:spacing w:val="-6"/>
                            <w:w w:val="115"/>
                            <w:sz w:val="14"/>
                          </w:rPr>
                          <w:t> </w:t>
                        </w:r>
                        <w:r>
                          <w:rPr>
                            <w:w w:val="115"/>
                            <w:sz w:val="14"/>
                          </w:rPr>
                          <w:t>Δ’</w:t>
                        </w:r>
                        <w:r>
                          <w:rPr>
                            <w:spacing w:val="-11"/>
                            <w:w w:val="115"/>
                            <w:sz w:val="14"/>
                          </w:rPr>
                          <w:t> </w:t>
                        </w:r>
                        <w:r>
                          <w:rPr>
                            <w:w w:val="115"/>
                            <w:sz w:val="14"/>
                          </w:rPr>
                          <w:t>τρίμηνο</w:t>
                        </w:r>
                        <w:r>
                          <w:rPr>
                            <w:spacing w:val="-15"/>
                            <w:w w:val="115"/>
                            <w:sz w:val="14"/>
                          </w:rPr>
                          <w:t> </w:t>
                        </w:r>
                        <w:r>
                          <w:rPr>
                            <w:w w:val="115"/>
                            <w:sz w:val="14"/>
                          </w:rPr>
                          <w:t>Α’</w:t>
                        </w:r>
                        <w:r>
                          <w:rPr>
                            <w:spacing w:val="-11"/>
                            <w:w w:val="115"/>
                            <w:sz w:val="14"/>
                          </w:rPr>
                          <w:t> </w:t>
                        </w:r>
                        <w:r>
                          <w:rPr>
                            <w:w w:val="115"/>
                            <w:sz w:val="14"/>
                          </w:rPr>
                          <w:t>τρίμηνο</w:t>
                        </w:r>
                        <w:r>
                          <w:rPr>
                            <w:spacing w:val="-9"/>
                            <w:w w:val="115"/>
                            <w:sz w:val="14"/>
                          </w:rPr>
                          <w:t> </w:t>
                        </w:r>
                        <w:r>
                          <w:rPr>
                            <w:w w:val="115"/>
                            <w:sz w:val="14"/>
                          </w:rPr>
                          <w:t>Β’</w:t>
                        </w:r>
                        <w:r>
                          <w:rPr>
                            <w:spacing w:val="-13"/>
                            <w:w w:val="115"/>
                            <w:sz w:val="14"/>
                          </w:rPr>
                          <w:t> </w:t>
                        </w:r>
                        <w:r>
                          <w:rPr>
                            <w:spacing w:val="-4"/>
                            <w:w w:val="115"/>
                            <w:sz w:val="14"/>
                          </w:rPr>
                          <w:t>τρίμηνο</w:t>
                        </w:r>
                      </w:p>
                      <w:p>
                        <w:pPr>
                          <w:tabs>
                            <w:tab w:pos="869" w:val="left" w:leader="none"/>
                            <w:tab w:pos="1739" w:val="left" w:leader="none"/>
                            <w:tab w:pos="2607" w:val="left" w:leader="none"/>
                            <w:tab w:pos="3478" w:val="left" w:leader="none"/>
                          </w:tabs>
                          <w:spacing w:line="170" w:lineRule="exact" w:before="0"/>
                          <w:ind w:left="0" w:right="23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2025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2025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2025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2026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2026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ahoma"/>
          <w:sz w:val="20"/>
        </w:rPr>
      </w:r>
      <w:r>
        <w:rPr>
          <w:rFonts w:ascii="Tahoma"/>
          <w:sz w:val="20"/>
        </w:rPr>
        <w:tab/>
      </w: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3067050" cy="1507490"/>
                <wp:effectExtent l="0" t="0" r="0" b="6984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3067050" cy="1507490"/>
                          <a:chExt cx="3067050" cy="150749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3067050" cy="150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0" h="1507490">
                                <a:moveTo>
                                  <a:pt x="3066910" y="0"/>
                                </a:moveTo>
                                <a:lnTo>
                                  <a:pt x="3060827" y="0"/>
                                </a:lnTo>
                                <a:lnTo>
                                  <a:pt x="3060827" y="6096"/>
                                </a:lnTo>
                                <a:lnTo>
                                  <a:pt x="3060827" y="1501140"/>
                                </a:lnTo>
                                <a:lnTo>
                                  <a:pt x="6096" y="150114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3060827" y="6096"/>
                                </a:lnTo>
                                <a:lnTo>
                                  <a:pt x="3060827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01140"/>
                                </a:lnTo>
                                <a:lnTo>
                                  <a:pt x="0" y="1507236"/>
                                </a:lnTo>
                                <a:lnTo>
                                  <a:pt x="6096" y="1507236"/>
                                </a:lnTo>
                                <a:lnTo>
                                  <a:pt x="3060827" y="1507236"/>
                                </a:lnTo>
                                <a:lnTo>
                                  <a:pt x="3066910" y="1507236"/>
                                </a:lnTo>
                                <a:lnTo>
                                  <a:pt x="3066910" y="1501140"/>
                                </a:lnTo>
                                <a:lnTo>
                                  <a:pt x="3066910" y="6096"/>
                                </a:lnTo>
                                <a:lnTo>
                                  <a:pt x="3066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97573" y="306044"/>
                            <a:ext cx="2520315" cy="8934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893444">
                                <a:moveTo>
                                  <a:pt x="307530" y="287756"/>
                                </a:moveTo>
                                <a:lnTo>
                                  <a:pt x="0" y="287756"/>
                                </a:lnTo>
                                <a:lnTo>
                                  <a:pt x="0" y="892937"/>
                                </a:lnTo>
                                <a:lnTo>
                                  <a:pt x="307530" y="892937"/>
                                </a:lnTo>
                                <a:lnTo>
                                  <a:pt x="307530" y="287756"/>
                                </a:lnTo>
                                <a:close/>
                              </a:path>
                              <a:path w="2520315" h="893444">
                                <a:moveTo>
                                  <a:pt x="860958" y="213118"/>
                                </a:moveTo>
                                <a:lnTo>
                                  <a:pt x="553415" y="213118"/>
                                </a:lnTo>
                                <a:lnTo>
                                  <a:pt x="553415" y="892937"/>
                                </a:lnTo>
                                <a:lnTo>
                                  <a:pt x="860958" y="892937"/>
                                </a:lnTo>
                                <a:lnTo>
                                  <a:pt x="860958" y="213118"/>
                                </a:lnTo>
                                <a:close/>
                              </a:path>
                              <a:path w="2520315" h="893444">
                                <a:moveTo>
                                  <a:pt x="1413459" y="12"/>
                                </a:moveTo>
                                <a:lnTo>
                                  <a:pt x="1106805" y="0"/>
                                </a:lnTo>
                                <a:lnTo>
                                  <a:pt x="1106805" y="892937"/>
                                </a:lnTo>
                                <a:lnTo>
                                  <a:pt x="1413459" y="892937"/>
                                </a:lnTo>
                                <a:lnTo>
                                  <a:pt x="1413459" y="12"/>
                                </a:lnTo>
                                <a:close/>
                              </a:path>
                              <a:path w="2520315" h="893444">
                                <a:moveTo>
                                  <a:pt x="1966849" y="205930"/>
                                </a:moveTo>
                                <a:lnTo>
                                  <a:pt x="1659318" y="205930"/>
                                </a:lnTo>
                                <a:lnTo>
                                  <a:pt x="1659318" y="892937"/>
                                </a:lnTo>
                                <a:lnTo>
                                  <a:pt x="1966849" y="892937"/>
                                </a:lnTo>
                                <a:lnTo>
                                  <a:pt x="1966849" y="205930"/>
                                </a:lnTo>
                                <a:close/>
                              </a:path>
                              <a:path w="2520315" h="893444">
                                <a:moveTo>
                                  <a:pt x="2520238" y="284162"/>
                                </a:moveTo>
                                <a:lnTo>
                                  <a:pt x="2212695" y="284162"/>
                                </a:lnTo>
                                <a:lnTo>
                                  <a:pt x="2212695" y="892937"/>
                                </a:lnTo>
                                <a:lnTo>
                                  <a:pt x="2520238" y="892937"/>
                                </a:lnTo>
                                <a:lnTo>
                                  <a:pt x="2520238" y="284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75089" y="1198980"/>
                            <a:ext cx="2765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5425" h="0">
                                <a:moveTo>
                                  <a:pt x="0" y="0"/>
                                </a:moveTo>
                                <a:lnTo>
                                  <a:pt x="2765213" y="0"/>
                                </a:lnTo>
                              </a:path>
                            </a:pathLst>
                          </a:custGeom>
                          <a:ln w="5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24061" y="38837"/>
                            <a:ext cx="221551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808080"/>
                                  <w:w w:val="90"/>
                                  <w:sz w:val="14"/>
                                </w:rPr>
                                <w:t>%</w:t>
                              </w:r>
                              <w:r>
                                <w:rPr>
                                  <w:color w:val="808080"/>
                                  <w:spacing w:val="2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08080"/>
                                  <w:w w:val="90"/>
                                  <w:sz w:val="14"/>
                                </w:rPr>
                                <w:t>Χορηγήσεων</w:t>
                              </w:r>
                              <w:r>
                                <w:rPr>
                                  <w:color w:val="808080"/>
                                  <w:spacing w:val="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08080"/>
                                  <w:w w:val="90"/>
                                  <w:sz w:val="14"/>
                                </w:rPr>
                                <w:t>μετά</w:t>
                              </w:r>
                              <w:r>
                                <w:rPr>
                                  <w:color w:val="808080"/>
                                  <w:spacing w:val="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08080"/>
                                  <w:w w:val="90"/>
                                  <w:sz w:val="14"/>
                                </w:rPr>
                                <w:t>από</w:t>
                              </w:r>
                              <w:r>
                                <w:rPr>
                                  <w:color w:val="808080"/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08080"/>
                                  <w:w w:val="90"/>
                                  <w:sz w:val="14"/>
                                </w:rPr>
                                <w:t>συσσωρευμένες</w:t>
                              </w:r>
                              <w:r>
                                <w:rPr>
                                  <w:color w:val="808080"/>
                                  <w:spacing w:val="-1"/>
                                  <w:w w:val="9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808080"/>
                                  <w:spacing w:val="-2"/>
                                  <w:w w:val="90"/>
                                  <w:sz w:val="14"/>
                                </w:rPr>
                                <w:t>προβλέψεις</w:t>
                              </w:r>
                            </w:p>
                            <w:p>
                              <w:pPr>
                                <w:spacing w:before="53"/>
                                <w:ind w:left="210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0,58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53347" y="469408"/>
                            <a:ext cx="20193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0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0,39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906000" y="394727"/>
                            <a:ext cx="20193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0,44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012262" y="387158"/>
                            <a:ext cx="202565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0,44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566017" y="465989"/>
                            <a:ext cx="20193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0,39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37558" y="1227948"/>
                            <a:ext cx="2655570" cy="219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9" w:lineRule="exact" w:before="0"/>
                                <w:ind w:left="0" w:right="18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Β’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τρίμηνο</w:t>
                              </w:r>
                              <w:r>
                                <w:rPr>
                                  <w:spacing w:val="28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Γ’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τρίμηνο</w:t>
                              </w:r>
                              <w:r>
                                <w:rPr>
                                  <w:spacing w:val="77"/>
                                  <w:w w:val="15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Δ’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τρίμηνο</w:t>
                              </w:r>
                              <w:r>
                                <w:rPr>
                                  <w:spacing w:val="66"/>
                                  <w:w w:val="15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Α’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τρίμηνο</w:t>
                              </w:r>
                              <w:r>
                                <w:rPr>
                                  <w:spacing w:val="74"/>
                                  <w:w w:val="15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Β’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τρίμηνο</w:t>
                              </w:r>
                            </w:p>
                            <w:p>
                              <w:pPr>
                                <w:tabs>
                                  <w:tab w:pos="870" w:val="left" w:leader="none"/>
                                  <w:tab w:pos="1741" w:val="left" w:leader="none"/>
                                  <w:tab w:pos="2612" w:val="left" w:leader="none"/>
                                  <w:tab w:pos="3484" w:val="left" w:leader="none"/>
                                </w:tabs>
                                <w:spacing w:before="0"/>
                                <w:ind w:left="0" w:right="22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2025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2025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2025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2026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41.5pt;height:118.7pt;mso-position-horizontal-relative:char;mso-position-vertical-relative:line" id="docshapegroup27" coordorigin="0,0" coordsize="4830,2374">
                <v:shape style="position:absolute;left:0;top:0;width:4830;height:2374" id="docshape28" coordorigin="0,0" coordsize="4830,2374" path="m4830,0l4820,0,4820,10,4820,2364,10,2364,10,10,19,10,4820,10,4820,0,19,0,10,0,0,0,0,10,0,2364,0,2374,10,2374,4820,2374,4830,2374,4830,2364,4830,10,4830,0xe" filled="true" fillcolor="#4f81bc" stroked="false">
                  <v:path arrowok="t"/>
                  <v:fill type="solid"/>
                </v:shape>
                <v:shape style="position:absolute;left:468;top:481;width:3969;height:1407" id="docshape29" coordorigin="469,482" coordsize="3969,1407" path="m953,935l469,935,469,1888,953,1888,953,935xm1824,818l1340,818,1340,1888,1824,1888,1824,818xm2695,482l2212,482,2212,1888,2695,1888,2695,482xm3566,806l3082,806,3082,1888,3566,1888,3566,806xm4438,929l3953,929,3953,1888,4438,1888,4438,929xe" filled="true" fillcolor="#c5d9f0" stroked="false">
                  <v:path arrowok="t"/>
                  <v:fill type="solid"/>
                </v:shape>
                <v:line style="position:absolute" from="276,1888" to="4630,1888" stroked="true" strokeweight=".442524pt" strokecolor="#000000">
                  <v:stroke dashstyle="solid"/>
                </v:line>
                <v:shape style="position:absolute;left:195;top:61;width:3489;height:400" type="#_x0000_t202" id="docshape30" filled="false" stroked="false">
                  <v:textbox inset="0,0,0,0">
                    <w:txbxContent>
                      <w:p>
                        <w:pPr>
                          <w:spacing w:line="17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808080"/>
                            <w:w w:val="90"/>
                            <w:sz w:val="14"/>
                          </w:rPr>
                          <w:t>%</w:t>
                        </w:r>
                        <w:r>
                          <w:rPr>
                            <w:color w:val="808080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color w:val="808080"/>
                            <w:w w:val="90"/>
                            <w:sz w:val="14"/>
                          </w:rPr>
                          <w:t>Χορηγήσεων</w:t>
                        </w:r>
                        <w:r>
                          <w:rPr>
                            <w:color w:val="808080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808080"/>
                            <w:w w:val="90"/>
                            <w:sz w:val="14"/>
                          </w:rPr>
                          <w:t>μετά</w:t>
                        </w:r>
                        <w:r>
                          <w:rPr>
                            <w:color w:val="808080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808080"/>
                            <w:w w:val="90"/>
                            <w:sz w:val="14"/>
                          </w:rPr>
                          <w:t>από</w:t>
                        </w:r>
                        <w:r>
                          <w:rPr>
                            <w:color w:val="80808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808080"/>
                            <w:w w:val="90"/>
                            <w:sz w:val="14"/>
                          </w:rPr>
                          <w:t>συσσωρευμένες</w:t>
                        </w:r>
                        <w:r>
                          <w:rPr>
                            <w:color w:val="808080"/>
                            <w:spacing w:val="-1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808080"/>
                            <w:spacing w:val="-2"/>
                            <w:w w:val="90"/>
                            <w:sz w:val="14"/>
                          </w:rPr>
                          <w:t>προβλέψεις</w:t>
                        </w:r>
                      </w:p>
                      <w:p>
                        <w:pPr>
                          <w:spacing w:before="53"/>
                          <w:ind w:left="210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0,58</w:t>
                        </w:r>
                      </w:p>
                    </w:txbxContent>
                  </v:textbox>
                  <w10:wrap type="none"/>
                </v:shape>
                <v:shape style="position:absolute;left:556;top:739;width:318;height:176" type="#_x0000_t202" id="docshape31" filled="false" stroked="false">
                  <v:textbox inset="0,0,0,0">
                    <w:txbxContent>
                      <w:p>
                        <w:pPr>
                          <w:spacing w:line="170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0,39</w:t>
                        </w:r>
                      </w:p>
                    </w:txbxContent>
                  </v:textbox>
                  <w10:wrap type="none"/>
                </v:shape>
                <v:shape style="position:absolute;left:1426;top:621;width:318;height:176" type="#_x0000_t202" id="docshape32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0,44</w:t>
                        </w:r>
                      </w:p>
                    </w:txbxContent>
                  </v:textbox>
                  <w10:wrap type="none"/>
                </v:shape>
                <v:shape style="position:absolute;left:3168;top:609;width:319;height:176" type="#_x0000_t202" id="docshape33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0,44</w:t>
                        </w:r>
                      </w:p>
                    </w:txbxContent>
                  </v:textbox>
                  <w10:wrap type="none"/>
                </v:shape>
                <v:shape style="position:absolute;left:4040;top:733;width:318;height:176" type="#_x0000_t202" id="docshape34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0,39</w:t>
                        </w:r>
                      </w:p>
                    </w:txbxContent>
                  </v:textbox>
                  <w10:wrap type="none"/>
                </v:shape>
                <v:shape style="position:absolute;left:374;top:1933;width:4182;height:346" type="#_x0000_t202" id="docshape35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18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Β’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τρίμηνο</w:t>
                        </w:r>
                        <w:r>
                          <w:rPr>
                            <w:spacing w:val="28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Γ’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τρίμηνο</w:t>
                        </w:r>
                        <w:r>
                          <w:rPr>
                            <w:spacing w:val="77"/>
                            <w:w w:val="15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Δ’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τρίμηνο</w:t>
                        </w:r>
                        <w:r>
                          <w:rPr>
                            <w:spacing w:val="66"/>
                            <w:w w:val="15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Α’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τρίμηνο</w:t>
                        </w:r>
                        <w:r>
                          <w:rPr>
                            <w:spacing w:val="74"/>
                            <w:w w:val="15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Β’</w:t>
                        </w:r>
                        <w:r>
                          <w:rPr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τρίμηνο</w:t>
                        </w:r>
                      </w:p>
                      <w:p>
                        <w:pPr>
                          <w:tabs>
                            <w:tab w:pos="870" w:val="left" w:leader="none"/>
                            <w:tab w:pos="1741" w:val="left" w:leader="none"/>
                            <w:tab w:pos="2612" w:val="left" w:leader="none"/>
                            <w:tab w:pos="3484" w:val="left" w:leader="none"/>
                          </w:tabs>
                          <w:spacing w:before="0"/>
                          <w:ind w:left="0" w:right="22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2025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2025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2025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2026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2026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ahoma"/>
          <w:sz w:val="20"/>
        </w:rPr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70"/>
        <w:rPr>
          <w:rFonts w:ascii="Tahoma"/>
          <w:b/>
          <w:sz w:val="20"/>
        </w:rPr>
      </w:pPr>
    </w:p>
    <w:p>
      <w:pPr>
        <w:spacing w:before="0"/>
        <w:ind w:left="600" w:right="0" w:firstLine="0"/>
        <w:jc w:val="left"/>
        <w:rPr>
          <w:sz w:val="20"/>
        </w:rPr>
      </w:pPr>
      <w:r>
        <w:rPr>
          <w:color w:val="E2872E"/>
          <w:w w:val="90"/>
          <w:sz w:val="20"/>
        </w:rPr>
        <w:t>Τα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κύρια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έσοδα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από</w:t>
      </w:r>
      <w:r>
        <w:rPr>
          <w:color w:val="E2872E"/>
          <w:spacing w:val="9"/>
          <w:sz w:val="20"/>
        </w:rPr>
        <w:t> </w:t>
      </w:r>
      <w:r>
        <w:rPr>
          <w:color w:val="E2872E"/>
          <w:w w:val="90"/>
          <w:sz w:val="20"/>
        </w:rPr>
        <w:t>Τραπεζικές</w:t>
      </w:r>
      <w:r>
        <w:rPr>
          <w:color w:val="E2872E"/>
          <w:spacing w:val="14"/>
          <w:sz w:val="20"/>
        </w:rPr>
        <w:t> </w:t>
      </w:r>
      <w:r>
        <w:rPr>
          <w:color w:val="E2872E"/>
          <w:w w:val="90"/>
          <w:sz w:val="20"/>
        </w:rPr>
        <w:t>εργασίες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ενισχυμένα</w:t>
      </w:r>
      <w:r>
        <w:rPr>
          <w:color w:val="E2872E"/>
          <w:spacing w:val="9"/>
          <w:sz w:val="20"/>
        </w:rPr>
        <w:t> </w:t>
      </w:r>
      <w:r>
        <w:rPr>
          <w:color w:val="E2872E"/>
          <w:w w:val="90"/>
          <w:sz w:val="20"/>
        </w:rPr>
        <w:t>κατά</w:t>
      </w:r>
      <w:r>
        <w:rPr>
          <w:color w:val="E2872E"/>
          <w:spacing w:val="14"/>
          <w:sz w:val="20"/>
        </w:rPr>
        <w:t> </w:t>
      </w:r>
      <w:r>
        <w:rPr>
          <w:color w:val="E2872E"/>
          <w:w w:val="90"/>
          <w:sz w:val="20"/>
        </w:rPr>
        <w:t>12,1%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σε</w:t>
      </w:r>
      <w:r>
        <w:rPr>
          <w:color w:val="E2872E"/>
          <w:spacing w:val="12"/>
          <w:sz w:val="20"/>
        </w:rPr>
        <w:t> </w:t>
      </w:r>
      <w:r>
        <w:rPr>
          <w:color w:val="E2872E"/>
          <w:w w:val="90"/>
          <w:sz w:val="20"/>
        </w:rPr>
        <w:t>τριμηνιαία</w:t>
      </w:r>
      <w:r>
        <w:rPr>
          <w:color w:val="E2872E"/>
          <w:spacing w:val="12"/>
          <w:sz w:val="20"/>
        </w:rPr>
        <w:t> </w:t>
      </w:r>
      <w:r>
        <w:rPr>
          <w:color w:val="E2872E"/>
          <w:spacing w:val="-4"/>
          <w:w w:val="90"/>
          <w:sz w:val="20"/>
        </w:rPr>
        <w:t>βάση</w:t>
      </w:r>
    </w:p>
    <w:p>
      <w:pPr>
        <w:pStyle w:val="Heading3"/>
        <w:tabs>
          <w:tab w:pos="5893" w:val="left" w:leader="none"/>
        </w:tabs>
        <w:spacing w:before="114"/>
        <w:ind w:left="67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536448</wp:posOffset>
                </wp:positionH>
                <wp:positionV relativeFrom="paragraph">
                  <wp:posOffset>231039</wp:posOffset>
                </wp:positionV>
                <wp:extent cx="3117850" cy="1603375"/>
                <wp:effectExtent l="0" t="0" r="0" b="0"/>
                <wp:wrapTopAndBottom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3117850" cy="1603375"/>
                          <a:chExt cx="3117850" cy="160337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3117850" cy="160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0" h="1603375">
                                <a:moveTo>
                                  <a:pt x="1217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97152"/>
                                </a:lnTo>
                                <a:lnTo>
                                  <a:pt x="6096" y="1597152"/>
                                </a:lnTo>
                                <a:lnTo>
                                  <a:pt x="6096" y="6096"/>
                                </a:lnTo>
                                <a:lnTo>
                                  <a:pt x="12179" y="6096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3117850" h="1603375">
                                <a:moveTo>
                                  <a:pt x="3117469" y="1597164"/>
                                </a:moveTo>
                                <a:lnTo>
                                  <a:pt x="3111373" y="1597164"/>
                                </a:lnTo>
                                <a:lnTo>
                                  <a:pt x="6096" y="1597164"/>
                                </a:lnTo>
                                <a:lnTo>
                                  <a:pt x="0" y="1597164"/>
                                </a:lnTo>
                                <a:lnTo>
                                  <a:pt x="0" y="1603248"/>
                                </a:lnTo>
                                <a:lnTo>
                                  <a:pt x="6096" y="1603248"/>
                                </a:lnTo>
                                <a:lnTo>
                                  <a:pt x="3111373" y="1603248"/>
                                </a:lnTo>
                                <a:lnTo>
                                  <a:pt x="3117469" y="1603248"/>
                                </a:lnTo>
                                <a:lnTo>
                                  <a:pt x="3117469" y="1597164"/>
                                </a:lnTo>
                                <a:close/>
                              </a:path>
                              <a:path w="3117850" h="1603375">
                                <a:moveTo>
                                  <a:pt x="3117469" y="0"/>
                                </a:moveTo>
                                <a:lnTo>
                                  <a:pt x="3111373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6096"/>
                                </a:lnTo>
                                <a:lnTo>
                                  <a:pt x="3111373" y="6096"/>
                                </a:lnTo>
                                <a:lnTo>
                                  <a:pt x="3111373" y="1597152"/>
                                </a:lnTo>
                                <a:lnTo>
                                  <a:pt x="3117469" y="1597152"/>
                                </a:lnTo>
                                <a:lnTo>
                                  <a:pt x="3117469" y="6096"/>
                                </a:lnTo>
                                <a:lnTo>
                                  <a:pt x="3117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1942" y="787742"/>
                            <a:ext cx="26193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9375" h="18415">
                                <a:moveTo>
                                  <a:pt x="291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94"/>
                                </a:lnTo>
                                <a:lnTo>
                                  <a:pt x="291096" y="17894"/>
                                </a:lnTo>
                                <a:lnTo>
                                  <a:pt x="291096" y="0"/>
                                </a:lnTo>
                                <a:close/>
                              </a:path>
                              <a:path w="2619375" h="18415">
                                <a:moveTo>
                                  <a:pt x="873328" y="3111"/>
                                </a:moveTo>
                                <a:lnTo>
                                  <a:pt x="582231" y="3111"/>
                                </a:lnTo>
                                <a:lnTo>
                                  <a:pt x="582231" y="17894"/>
                                </a:lnTo>
                                <a:lnTo>
                                  <a:pt x="873328" y="17894"/>
                                </a:lnTo>
                                <a:lnTo>
                                  <a:pt x="873328" y="3111"/>
                                </a:lnTo>
                                <a:close/>
                              </a:path>
                              <a:path w="2619375" h="18415">
                                <a:moveTo>
                                  <a:pt x="1455521" y="2336"/>
                                </a:moveTo>
                                <a:lnTo>
                                  <a:pt x="1164424" y="2336"/>
                                </a:lnTo>
                                <a:lnTo>
                                  <a:pt x="1164424" y="17894"/>
                                </a:lnTo>
                                <a:lnTo>
                                  <a:pt x="1455521" y="17894"/>
                                </a:lnTo>
                                <a:lnTo>
                                  <a:pt x="1455521" y="2336"/>
                                </a:lnTo>
                                <a:close/>
                              </a:path>
                              <a:path w="2619375" h="18415">
                                <a:moveTo>
                                  <a:pt x="2036826" y="2336"/>
                                </a:moveTo>
                                <a:lnTo>
                                  <a:pt x="1745716" y="2336"/>
                                </a:lnTo>
                                <a:lnTo>
                                  <a:pt x="1745716" y="17894"/>
                                </a:lnTo>
                                <a:lnTo>
                                  <a:pt x="2036826" y="17894"/>
                                </a:lnTo>
                                <a:lnTo>
                                  <a:pt x="2036826" y="2336"/>
                                </a:lnTo>
                                <a:close/>
                              </a:path>
                              <a:path w="2619375" h="18415">
                                <a:moveTo>
                                  <a:pt x="2619019" y="0"/>
                                </a:moveTo>
                                <a:lnTo>
                                  <a:pt x="2327922" y="0"/>
                                </a:lnTo>
                                <a:lnTo>
                                  <a:pt x="2327922" y="17894"/>
                                </a:lnTo>
                                <a:lnTo>
                                  <a:pt x="2619019" y="17894"/>
                                </a:lnTo>
                                <a:lnTo>
                                  <a:pt x="261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51942" y="658545"/>
                            <a:ext cx="261937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9375" h="132715">
                                <a:moveTo>
                                  <a:pt x="291096" y="15570"/>
                                </a:moveTo>
                                <a:lnTo>
                                  <a:pt x="0" y="15570"/>
                                </a:lnTo>
                                <a:lnTo>
                                  <a:pt x="0" y="129197"/>
                                </a:lnTo>
                                <a:lnTo>
                                  <a:pt x="291096" y="129197"/>
                                </a:lnTo>
                                <a:lnTo>
                                  <a:pt x="291096" y="15570"/>
                                </a:lnTo>
                                <a:close/>
                              </a:path>
                              <a:path w="2619375" h="132715">
                                <a:moveTo>
                                  <a:pt x="873328" y="19456"/>
                                </a:moveTo>
                                <a:lnTo>
                                  <a:pt x="582231" y="19456"/>
                                </a:lnTo>
                                <a:lnTo>
                                  <a:pt x="582231" y="132308"/>
                                </a:lnTo>
                                <a:lnTo>
                                  <a:pt x="873328" y="132308"/>
                                </a:lnTo>
                                <a:lnTo>
                                  <a:pt x="873328" y="19456"/>
                                </a:lnTo>
                                <a:close/>
                              </a:path>
                              <a:path w="2619375" h="132715">
                                <a:moveTo>
                                  <a:pt x="1455521" y="15570"/>
                                </a:moveTo>
                                <a:lnTo>
                                  <a:pt x="1164424" y="15570"/>
                                </a:lnTo>
                                <a:lnTo>
                                  <a:pt x="1164424" y="131533"/>
                                </a:lnTo>
                                <a:lnTo>
                                  <a:pt x="1455521" y="131533"/>
                                </a:lnTo>
                                <a:lnTo>
                                  <a:pt x="1455521" y="15570"/>
                                </a:lnTo>
                                <a:close/>
                              </a:path>
                              <a:path w="2619375" h="132715">
                                <a:moveTo>
                                  <a:pt x="2036826" y="11671"/>
                                </a:moveTo>
                                <a:lnTo>
                                  <a:pt x="1745716" y="11671"/>
                                </a:lnTo>
                                <a:lnTo>
                                  <a:pt x="1745716" y="131533"/>
                                </a:lnTo>
                                <a:lnTo>
                                  <a:pt x="2036826" y="131533"/>
                                </a:lnTo>
                                <a:lnTo>
                                  <a:pt x="2036826" y="11671"/>
                                </a:lnTo>
                                <a:close/>
                              </a:path>
                              <a:path w="2619375" h="132715">
                                <a:moveTo>
                                  <a:pt x="2619019" y="0"/>
                                </a:moveTo>
                                <a:lnTo>
                                  <a:pt x="2327922" y="0"/>
                                </a:lnTo>
                                <a:lnTo>
                                  <a:pt x="2327922" y="129197"/>
                                </a:lnTo>
                                <a:lnTo>
                                  <a:pt x="2619019" y="129197"/>
                                </a:lnTo>
                                <a:lnTo>
                                  <a:pt x="261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2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51942" y="213359"/>
                            <a:ext cx="261937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9375" h="464820">
                                <a:moveTo>
                                  <a:pt x="291096" y="32689"/>
                                </a:moveTo>
                                <a:lnTo>
                                  <a:pt x="0" y="32689"/>
                                </a:lnTo>
                                <a:lnTo>
                                  <a:pt x="0" y="460756"/>
                                </a:lnTo>
                                <a:lnTo>
                                  <a:pt x="291096" y="460756"/>
                                </a:lnTo>
                                <a:lnTo>
                                  <a:pt x="291096" y="32689"/>
                                </a:lnTo>
                                <a:close/>
                              </a:path>
                              <a:path w="2619375" h="464820">
                                <a:moveTo>
                                  <a:pt x="873328" y="42811"/>
                                </a:moveTo>
                                <a:lnTo>
                                  <a:pt x="582231" y="42811"/>
                                </a:lnTo>
                                <a:lnTo>
                                  <a:pt x="582231" y="464642"/>
                                </a:lnTo>
                                <a:lnTo>
                                  <a:pt x="873328" y="464642"/>
                                </a:lnTo>
                                <a:lnTo>
                                  <a:pt x="873328" y="42811"/>
                                </a:lnTo>
                                <a:close/>
                              </a:path>
                              <a:path w="2619375" h="464820">
                                <a:moveTo>
                                  <a:pt x="1455521" y="31915"/>
                                </a:moveTo>
                                <a:lnTo>
                                  <a:pt x="1164424" y="31915"/>
                                </a:lnTo>
                                <a:lnTo>
                                  <a:pt x="1164424" y="460756"/>
                                </a:lnTo>
                                <a:lnTo>
                                  <a:pt x="1455521" y="460756"/>
                                </a:lnTo>
                                <a:lnTo>
                                  <a:pt x="1455521" y="31915"/>
                                </a:lnTo>
                                <a:close/>
                              </a:path>
                              <a:path w="2619375" h="464820">
                                <a:moveTo>
                                  <a:pt x="2036826" y="28028"/>
                                </a:moveTo>
                                <a:lnTo>
                                  <a:pt x="1745716" y="28028"/>
                                </a:lnTo>
                                <a:lnTo>
                                  <a:pt x="1745716" y="456857"/>
                                </a:lnTo>
                                <a:lnTo>
                                  <a:pt x="2036826" y="456857"/>
                                </a:lnTo>
                                <a:lnTo>
                                  <a:pt x="2036826" y="28028"/>
                                </a:lnTo>
                                <a:close/>
                              </a:path>
                              <a:path w="2619375" h="464820">
                                <a:moveTo>
                                  <a:pt x="2619019" y="0"/>
                                </a:moveTo>
                                <a:lnTo>
                                  <a:pt x="2327922" y="0"/>
                                </a:lnTo>
                                <a:lnTo>
                                  <a:pt x="2327922" y="445185"/>
                                </a:lnTo>
                                <a:lnTo>
                                  <a:pt x="2619019" y="445185"/>
                                </a:lnTo>
                                <a:lnTo>
                                  <a:pt x="261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51942" y="805637"/>
                            <a:ext cx="261937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9375" h="77470">
                                <a:moveTo>
                                  <a:pt x="291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050"/>
                                </a:lnTo>
                                <a:lnTo>
                                  <a:pt x="291096" y="77050"/>
                                </a:lnTo>
                                <a:lnTo>
                                  <a:pt x="291096" y="0"/>
                                </a:lnTo>
                                <a:close/>
                              </a:path>
                              <a:path w="2619375" h="77470">
                                <a:moveTo>
                                  <a:pt x="873328" y="0"/>
                                </a:moveTo>
                                <a:lnTo>
                                  <a:pt x="582231" y="0"/>
                                </a:lnTo>
                                <a:lnTo>
                                  <a:pt x="582231" y="72390"/>
                                </a:lnTo>
                                <a:lnTo>
                                  <a:pt x="873328" y="72390"/>
                                </a:lnTo>
                                <a:lnTo>
                                  <a:pt x="873328" y="0"/>
                                </a:lnTo>
                                <a:close/>
                              </a:path>
                              <a:path w="2619375" h="77470">
                                <a:moveTo>
                                  <a:pt x="1455521" y="0"/>
                                </a:moveTo>
                                <a:lnTo>
                                  <a:pt x="1164424" y="0"/>
                                </a:lnTo>
                                <a:lnTo>
                                  <a:pt x="1164424" y="70053"/>
                                </a:lnTo>
                                <a:lnTo>
                                  <a:pt x="1455521" y="70053"/>
                                </a:lnTo>
                                <a:lnTo>
                                  <a:pt x="1455521" y="0"/>
                                </a:lnTo>
                                <a:close/>
                              </a:path>
                              <a:path w="2619375" h="77470">
                                <a:moveTo>
                                  <a:pt x="2036826" y="0"/>
                                </a:moveTo>
                                <a:lnTo>
                                  <a:pt x="1745716" y="0"/>
                                </a:lnTo>
                                <a:lnTo>
                                  <a:pt x="1745716" y="72390"/>
                                </a:lnTo>
                                <a:lnTo>
                                  <a:pt x="2036826" y="72390"/>
                                </a:lnTo>
                                <a:lnTo>
                                  <a:pt x="2036826" y="0"/>
                                </a:lnTo>
                                <a:close/>
                              </a:path>
                              <a:path w="2619375" h="77470">
                                <a:moveTo>
                                  <a:pt x="2619019" y="0"/>
                                </a:moveTo>
                                <a:lnTo>
                                  <a:pt x="2327922" y="0"/>
                                </a:lnTo>
                                <a:lnTo>
                                  <a:pt x="2327922" y="74714"/>
                                </a:lnTo>
                                <a:lnTo>
                                  <a:pt x="2619019" y="74714"/>
                                </a:lnTo>
                                <a:lnTo>
                                  <a:pt x="2619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C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05946" y="805635"/>
                            <a:ext cx="2911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1475" h="0">
                                <a:moveTo>
                                  <a:pt x="0" y="0"/>
                                </a:moveTo>
                                <a:lnTo>
                                  <a:pt x="149604" y="0"/>
                                </a:lnTo>
                              </a:path>
                              <a:path w="2911475" h="0">
                                <a:moveTo>
                                  <a:pt x="464134" y="0"/>
                                </a:moveTo>
                                <a:lnTo>
                                  <a:pt x="731838" y="0"/>
                                </a:lnTo>
                              </a:path>
                              <a:path w="2911475" h="0">
                                <a:moveTo>
                                  <a:pt x="1046368" y="0"/>
                                </a:moveTo>
                                <a:lnTo>
                                  <a:pt x="1314034" y="0"/>
                                </a:lnTo>
                              </a:path>
                              <a:path w="2911475" h="0">
                                <a:moveTo>
                                  <a:pt x="1628564" y="0"/>
                                </a:moveTo>
                                <a:lnTo>
                                  <a:pt x="1896230" y="0"/>
                                </a:lnTo>
                              </a:path>
                              <a:path w="2911475" h="0">
                                <a:moveTo>
                                  <a:pt x="2210760" y="0"/>
                                </a:moveTo>
                                <a:lnTo>
                                  <a:pt x="2477525" y="0"/>
                                </a:lnTo>
                              </a:path>
                              <a:path w="2911475" h="0">
                                <a:moveTo>
                                  <a:pt x="2791980" y="0"/>
                                </a:moveTo>
                                <a:lnTo>
                                  <a:pt x="2911017" y="0"/>
                                </a:lnTo>
                              </a:path>
                            </a:pathLst>
                          </a:custGeom>
                          <a:ln w="48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70909" y="797852"/>
                            <a:ext cx="19939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93980">
                                <a:moveTo>
                                  <a:pt x="199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99172" y="93394"/>
                                </a:lnTo>
                                <a:lnTo>
                                  <a:pt x="199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C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5551" y="750377"/>
                            <a:ext cx="13906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93980">
                                <a:moveTo>
                                  <a:pt x="1387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38789" y="93394"/>
                                </a:lnTo>
                                <a:lnTo>
                                  <a:pt x="138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72711" y="684222"/>
                            <a:ext cx="1955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93980">
                                <a:moveTo>
                                  <a:pt x="195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95567" y="93394"/>
                                </a:lnTo>
                                <a:lnTo>
                                  <a:pt x="195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2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953142" y="795517"/>
                            <a:ext cx="19939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93980">
                                <a:moveTo>
                                  <a:pt x="199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99172" y="93394"/>
                                </a:lnTo>
                                <a:lnTo>
                                  <a:pt x="199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C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37785" y="751933"/>
                            <a:ext cx="13906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93980">
                                <a:moveTo>
                                  <a:pt x="1387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38789" y="93394"/>
                                </a:lnTo>
                                <a:lnTo>
                                  <a:pt x="138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54945" y="688114"/>
                            <a:ext cx="19558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92710">
                                <a:moveTo>
                                  <a:pt x="195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616"/>
                                </a:lnTo>
                                <a:lnTo>
                                  <a:pt x="195567" y="92616"/>
                                </a:lnTo>
                                <a:lnTo>
                                  <a:pt x="195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2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535338" y="794739"/>
                            <a:ext cx="19939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93980">
                                <a:moveTo>
                                  <a:pt x="199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99172" y="93394"/>
                                </a:lnTo>
                                <a:lnTo>
                                  <a:pt x="199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C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419981" y="751933"/>
                            <a:ext cx="13906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93980">
                                <a:moveTo>
                                  <a:pt x="1387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38789" y="93394"/>
                                </a:lnTo>
                                <a:lnTo>
                                  <a:pt x="138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537141" y="685001"/>
                            <a:ext cx="19558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93980">
                                <a:moveTo>
                                  <a:pt x="195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95567" y="93394"/>
                                </a:lnTo>
                                <a:lnTo>
                                  <a:pt x="195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2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117535" y="795518"/>
                            <a:ext cx="19939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93980">
                                <a:moveTo>
                                  <a:pt x="199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99172" y="93394"/>
                                </a:lnTo>
                                <a:lnTo>
                                  <a:pt x="199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C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002177" y="751934"/>
                            <a:ext cx="13906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93980">
                                <a:moveTo>
                                  <a:pt x="1387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38789" y="93394"/>
                                </a:lnTo>
                                <a:lnTo>
                                  <a:pt x="138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119262" y="683444"/>
                            <a:ext cx="19494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" h="93980">
                                <a:moveTo>
                                  <a:pt x="1946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94666" y="93394"/>
                                </a:lnTo>
                                <a:lnTo>
                                  <a:pt x="194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2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699655" y="796296"/>
                            <a:ext cx="19875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93980">
                                <a:moveTo>
                                  <a:pt x="1982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98271" y="93394"/>
                                </a:lnTo>
                                <a:lnTo>
                                  <a:pt x="198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C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583472" y="751155"/>
                            <a:ext cx="13970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93980">
                                <a:moveTo>
                                  <a:pt x="1396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39691" y="93394"/>
                                </a:lnTo>
                                <a:lnTo>
                                  <a:pt x="139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701533" y="677218"/>
                            <a:ext cx="19494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" h="93980">
                                <a:moveTo>
                                  <a:pt x="1946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394"/>
                                </a:lnTo>
                                <a:lnTo>
                                  <a:pt x="194666" y="93394"/>
                                </a:lnTo>
                                <a:lnTo>
                                  <a:pt x="194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2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05946" y="1237565"/>
                            <a:ext cx="11747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75565">
                                <a:moveTo>
                                  <a:pt x="117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493"/>
                                </a:lnTo>
                                <a:lnTo>
                                  <a:pt x="117160" y="75493"/>
                                </a:lnTo>
                                <a:lnTo>
                                  <a:pt x="11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05946" y="1349638"/>
                            <a:ext cx="117475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74930">
                                <a:moveTo>
                                  <a:pt x="117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715"/>
                                </a:lnTo>
                                <a:lnTo>
                                  <a:pt x="117160" y="74715"/>
                                </a:lnTo>
                                <a:lnTo>
                                  <a:pt x="11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2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05946" y="1460931"/>
                            <a:ext cx="11747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75565">
                                <a:moveTo>
                                  <a:pt x="117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493"/>
                                </a:lnTo>
                                <a:lnTo>
                                  <a:pt x="117160" y="75493"/>
                                </a:lnTo>
                                <a:lnTo>
                                  <a:pt x="11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F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381228" y="1237565"/>
                            <a:ext cx="116839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75565">
                                <a:moveTo>
                                  <a:pt x="1162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493"/>
                                </a:lnTo>
                                <a:lnTo>
                                  <a:pt x="116258" y="75493"/>
                                </a:lnTo>
                                <a:lnTo>
                                  <a:pt x="116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C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381228" y="1349638"/>
                            <a:ext cx="116839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74930">
                                <a:moveTo>
                                  <a:pt x="1162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715"/>
                                </a:lnTo>
                                <a:lnTo>
                                  <a:pt x="116258" y="74715"/>
                                </a:lnTo>
                                <a:lnTo>
                                  <a:pt x="116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52750" y="1233928"/>
                            <a:ext cx="2246630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008" w:val="left" w:leader="none"/>
                                </w:tabs>
                                <w:spacing w:line="316" w:lineRule="auto" w:before="1"/>
                                <w:ind w:left="0" w:right="18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15"/>
                                  <w:sz w:val="11"/>
                                </w:rPr>
                                <w:t>Εξυπηρετούμενα</w:t>
                              </w:r>
                              <w:r>
                                <w:rPr>
                                  <w:spacing w:val="-12"/>
                                  <w:w w:val="11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w w:val="115"/>
                                  <w:sz w:val="11"/>
                                </w:rPr>
                                <w:t>Δάνεια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15"/>
                                  <w:sz w:val="11"/>
                                </w:rPr>
                                <w:t>Χρηματοδότηση</w:t>
                              </w:r>
                              <w:r>
                                <w:rPr>
                                  <w:spacing w:val="-13"/>
                                  <w:w w:val="11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1"/>
                                </w:rPr>
                                <w:t>&amp;</w:t>
                              </w:r>
                              <w:r>
                                <w:rPr>
                                  <w:spacing w:val="-9"/>
                                  <w:w w:val="11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1"/>
                                </w:rPr>
                                <w:t>Λοιπά Ομόλογα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15"/>
                                  <w:sz w:val="11"/>
                                </w:rPr>
                                <w:t>Καταθέσεις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10"/>
                                  <w:sz w:val="11"/>
                                </w:rPr>
                                <w:t>Μη</w:t>
                              </w:r>
                              <w:r>
                                <w:rPr>
                                  <w:spacing w:val="-8"/>
                                  <w:w w:val="1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1"/>
                                </w:rPr>
                                <w:t>Εξυπηρετούμενα</w:t>
                              </w:r>
                              <w:r>
                                <w:rPr>
                                  <w:spacing w:val="-5"/>
                                  <w:w w:val="1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1"/>
                                </w:rPr>
                                <w:t>Δάνεια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920240" y="675952"/>
                            <a:ext cx="1040130" cy="504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251" w:val="left" w:leader="none"/>
                                </w:tabs>
                                <w:spacing w:line="137" w:lineRule="exact" w:before="0"/>
                                <w:ind w:left="334" w:right="0" w:firstLine="0"/>
                                <w:jc w:val="left"/>
                                <w:rPr>
                                  <w:position w:val="1"/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116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5"/>
                                  <w:w w:val="105"/>
                                  <w:position w:val="1"/>
                                  <w:sz w:val="12"/>
                                </w:rPr>
                                <w:t>126</w:t>
                              </w:r>
                            </w:p>
                            <w:p>
                              <w:pPr>
                                <w:tabs>
                                  <w:tab w:pos="949" w:val="left" w:leader="none"/>
                                </w:tabs>
                                <w:spacing w:line="176" w:lineRule="exact" w:before="0"/>
                                <w:ind w:left="32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2"/>
                                  <w:position w:val="7"/>
                                  <w:sz w:val="12"/>
                                </w:rPr>
                                <w:t>16</w:t>
                              </w:r>
                              <w:r>
                                <w:rPr>
                                  <w:spacing w:val="-19"/>
                                  <w:position w:val="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(70)</w:t>
                              </w:r>
                              <w:r>
                                <w:rPr>
                                  <w:color w:val="FFFFFF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2"/>
                                  <w:position w:val="7"/>
                                  <w:sz w:val="12"/>
                                </w:rPr>
                                <w:t>17</w:t>
                              </w:r>
                              <w:r>
                                <w:rPr>
                                  <w:spacing w:val="-19"/>
                                  <w:position w:val="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(72)</w:t>
                              </w:r>
                            </w:p>
                            <w:p>
                              <w:pPr>
                                <w:tabs>
                                  <w:tab w:pos="499" w:val="left" w:leader="none"/>
                                  <w:tab w:pos="916" w:val="left" w:leader="none"/>
                                  <w:tab w:pos="1416" w:val="left" w:leader="none"/>
                                </w:tabs>
                                <w:spacing w:line="135" w:lineRule="exact" w:before="0"/>
                                <w:ind w:left="0" w:right="58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position w:val="1"/>
                                  <w:sz w:val="12"/>
                                  <w:shd w:fill="A8A4A4" w:color="auto" w:val="clear"/>
                                </w:rPr>
                                <w:t>(63)</w:t>
                              </w:r>
                              <w:r>
                                <w:rPr>
                                  <w:color w:val="000000"/>
                                  <w:position w:val="1"/>
                                  <w:sz w:val="12"/>
                                  <w:shd w:fill="A8A4A4" w:color="auto" w:val="clear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position w:val="1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1"/>
                                  <w:sz w:val="12"/>
                                  <w:shd w:fill="A8A4A4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12"/>
                                  <w:shd w:fill="A8A4A4" w:color="auto" w:val="clear"/>
                                </w:rPr>
                                <w:t>(68)</w:t>
                                <w:tab/>
                              </w:r>
                            </w:p>
                            <w:p>
                              <w:pPr>
                                <w:tabs>
                                  <w:tab w:pos="925" w:val="left" w:leader="none"/>
                                </w:tabs>
                                <w:spacing w:before="49"/>
                                <w:ind w:left="-1" w:right="18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Α’</w:t>
                              </w:r>
                              <w:r>
                                <w:rPr>
                                  <w:spacing w:val="18"/>
                                  <w:w w:val="11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12"/>
                                </w:rPr>
                                <w:t>τρίμηνο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12"/>
                                </w:rPr>
                                <w:t>Β’ </w:t>
                              </w:r>
                              <w:r>
                                <w:rPr>
                                  <w:spacing w:val="-6"/>
                                  <w:w w:val="115"/>
                                  <w:sz w:val="12"/>
                                </w:rPr>
                                <w:t>τρίμηνο</w:t>
                              </w:r>
                            </w:p>
                            <w:p>
                              <w:pPr>
                                <w:tabs>
                                  <w:tab w:pos="916" w:val="left" w:leader="none"/>
                                </w:tabs>
                                <w:spacing w:before="1"/>
                                <w:ind w:left="0" w:right="14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6"/>
                                  <w:w w:val="105"/>
                                  <w:sz w:val="12"/>
                                </w:rPr>
                                <w:t>2026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6"/>
                                  <w:w w:val="105"/>
                                  <w:sz w:val="12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338044" y="990704"/>
                            <a:ext cx="463550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Δ’</w:t>
                              </w:r>
                              <w:r>
                                <w:rPr>
                                  <w:spacing w:val="16"/>
                                  <w:w w:val="11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w w:val="115"/>
                                  <w:sz w:val="12"/>
                                </w:rPr>
                                <w:t>τρίμηνο</w:t>
                              </w:r>
                            </w:p>
                            <w:p>
                              <w:pPr>
                                <w:spacing w:before="1"/>
                                <w:ind w:left="0" w:right="22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6"/>
                                  <w:w w:val="105"/>
                                  <w:sz w:val="12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432973" y="750538"/>
                            <a:ext cx="30162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2"/>
                                  <w:position w:val="7"/>
                                  <w:sz w:val="12"/>
                                </w:rPr>
                                <w:t>16</w:t>
                              </w:r>
                              <w:r>
                                <w:rPr>
                                  <w:spacing w:val="-19"/>
                                  <w:position w:val="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(68)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389339" y="860860"/>
                            <a:ext cx="33083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00" w:val="left" w:leader="none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2"/>
                                  <w:shd w:fill="A8A4A4" w:color="auto" w:val="clear"/>
                                </w:rPr>
                                <w:t>(64)</w:t>
                              </w:r>
                              <w:r>
                                <w:rPr>
                                  <w:color w:val="000000"/>
                                  <w:sz w:val="12"/>
                                  <w:shd w:fill="A8A4A4" w:color="auto" w:val="clear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550509" y="684059"/>
                            <a:ext cx="18351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5"/>
                                  <w:w w:val="105"/>
                                  <w:sz w:val="12"/>
                                </w:rPr>
                                <w:t>112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968313" y="686240"/>
                            <a:ext cx="183515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5"/>
                                  <w:w w:val="105"/>
                                  <w:sz w:val="12"/>
                                </w:rPr>
                                <w:t>110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764289" y="750537"/>
                            <a:ext cx="446405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6" w:lineRule="exact" w:before="0"/>
                                <w:ind w:left="86" w:right="62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2"/>
                                  <w:position w:val="7"/>
                                  <w:sz w:val="12"/>
                                </w:rPr>
                                <w:t>15</w:t>
                              </w:r>
                              <w:r>
                                <w:rPr>
                                  <w:spacing w:val="-19"/>
                                  <w:position w:val="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(70)</w:t>
                              </w:r>
                            </w:p>
                            <w:p>
                              <w:pPr>
                                <w:tabs>
                                  <w:tab w:pos="499" w:val="left" w:leader="none"/>
                                </w:tabs>
                                <w:spacing w:line="127" w:lineRule="exact" w:before="0"/>
                                <w:ind w:left="0" w:right="62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2"/>
                                  <w:shd w:fill="A8A4A4" w:color="auto" w:val="clear"/>
                                </w:rPr>
                                <w:t>(63)</w:t>
                              </w:r>
                              <w:r>
                                <w:rPr>
                                  <w:color w:val="000000"/>
                                  <w:sz w:val="12"/>
                                  <w:shd w:fill="A8A4A4" w:color="auto" w:val="clear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56"/>
                                <w:ind w:left="0" w:right="18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Γ’</w:t>
                              </w:r>
                              <w:r>
                                <w:rPr>
                                  <w:spacing w:val="8"/>
                                  <w:w w:val="11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w w:val="115"/>
                                  <w:sz w:val="12"/>
                                </w:rPr>
                                <w:t>τρίμηνο</w:t>
                              </w:r>
                            </w:p>
                            <w:p>
                              <w:pPr>
                                <w:spacing w:before="1"/>
                                <w:ind w:left="41" w:right="62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6"/>
                                  <w:w w:val="105"/>
                                  <w:sz w:val="12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85952" y="683281"/>
                            <a:ext cx="18415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110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2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79209" y="748981"/>
                            <a:ext cx="452755" cy="431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7" w:lineRule="exact" w:before="0"/>
                                <w:ind w:left="87" w:right="63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2"/>
                                  <w:position w:val="8"/>
                                  <w:sz w:val="12"/>
                                </w:rPr>
                                <w:t>18</w:t>
                              </w:r>
                              <w:r>
                                <w:rPr>
                                  <w:spacing w:val="-19"/>
                                  <w:position w:val="8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2"/>
                                </w:rPr>
                                <w:t>(75)</w:t>
                              </w:r>
                            </w:p>
                            <w:p>
                              <w:pPr>
                                <w:tabs>
                                  <w:tab w:pos="499" w:val="left" w:leader="none"/>
                                </w:tabs>
                                <w:spacing w:line="132" w:lineRule="exact" w:before="0"/>
                                <w:ind w:left="0" w:right="63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2"/>
                                  <w:shd w:fill="A8A4A4" w:color="auto" w:val="clear"/>
                                </w:rPr>
                                <w:t>(70)</w:t>
                              </w:r>
                              <w:r>
                                <w:rPr>
                                  <w:color w:val="000000"/>
                                  <w:sz w:val="12"/>
                                  <w:shd w:fill="A8A4A4" w:color="auto" w:val="clear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42"/>
                                <w:ind w:left="-1" w:right="18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15"/>
                                  <w:sz w:val="12"/>
                                </w:rPr>
                                <w:t>Β’ </w:t>
                              </w:r>
                              <w:r>
                                <w:rPr>
                                  <w:spacing w:val="-6"/>
                                  <w:w w:val="115"/>
                                  <w:sz w:val="12"/>
                                </w:rPr>
                                <w:t>τρίμηνο</w:t>
                              </w:r>
                            </w:p>
                            <w:p>
                              <w:pPr>
                                <w:spacing w:before="1"/>
                                <w:ind w:left="40" w:right="63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6"/>
                                  <w:w w:val="105"/>
                                  <w:sz w:val="12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641376" y="387986"/>
                            <a:ext cx="18351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5"/>
                                  <w:w w:val="105"/>
                                  <w:sz w:val="12"/>
                                </w:rPr>
                                <w:t>433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059180" y="408092"/>
                            <a:ext cx="18351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5"/>
                                  <w:w w:val="105"/>
                                  <w:sz w:val="12"/>
                                </w:rPr>
                                <w:t>417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476984" y="411829"/>
                            <a:ext cx="183515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5"/>
                                  <w:w w:val="105"/>
                                  <w:sz w:val="12"/>
                                </w:rPr>
                                <w:t>417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894788" y="418963"/>
                            <a:ext cx="183515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5"/>
                                  <w:w w:val="105"/>
                                  <w:sz w:val="12"/>
                                </w:rPr>
                                <w:t>410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12591" y="412153"/>
                            <a:ext cx="183515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5"/>
                                  <w:w w:val="105"/>
                                  <w:sz w:val="12"/>
                                </w:rPr>
                                <w:t>417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641526" y="105662"/>
                            <a:ext cx="184150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436</w:t>
                              </w:r>
                              <w:r>
                                <w:rPr>
                                  <w:w w:val="105"/>
                                  <w:sz w:val="12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2059330" y="133940"/>
                            <a:ext cx="18351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5"/>
                                  <w:w w:val="105"/>
                                  <w:sz w:val="12"/>
                                </w:rPr>
                                <w:t>416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477134" y="137872"/>
                            <a:ext cx="183515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5"/>
                                  <w:w w:val="105"/>
                                  <w:sz w:val="12"/>
                                </w:rPr>
                                <w:t>413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894938" y="148598"/>
                            <a:ext cx="183515" cy="96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5"/>
                                  <w:w w:val="105"/>
                                  <w:sz w:val="12"/>
                                </w:rPr>
                                <w:t>402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68214" y="28093"/>
                            <a:ext cx="32766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47" w:firstLine="0"/>
                                <w:jc w:val="righ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8E8E8E"/>
                                  <w:w w:val="105"/>
                                  <w:sz w:val="12"/>
                                </w:rPr>
                                <w:t>€</w:t>
                              </w:r>
                              <w:r>
                                <w:rPr>
                                  <w:color w:val="8E8E8E"/>
                                  <w:spacing w:val="10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spacing w:val="-2"/>
                                  <w:w w:val="105"/>
                                  <w:sz w:val="12"/>
                                </w:rPr>
                                <w:t>εκατ.</w:t>
                              </w:r>
                            </w:p>
                            <w:p>
                              <w:pPr>
                                <w:spacing w:before="28"/>
                                <w:ind w:left="0" w:right="18" w:firstLine="0"/>
                                <w:jc w:val="righ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5"/>
                                  <w:w w:val="105"/>
                                  <w:sz w:val="12"/>
                                </w:rPr>
                                <w:t>399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40002pt;margin-top:18.192059pt;width:245.5pt;height:126.25pt;mso-position-horizontal-relative:page;mso-position-vertical-relative:paragraph;z-index:-15726080;mso-wrap-distance-left:0;mso-wrap-distance-right:0" id="docshapegroup36" coordorigin="845,364" coordsize="4910,2525">
                <v:shape style="position:absolute;left:844;top:363;width:4910;height:2525" id="docshape37" coordorigin="845,364" coordsize="4910,2525" path="m864,364l854,364,845,364,845,373,845,2879,854,2879,854,373,864,373,864,364xm5754,2879l5745,2879,854,2879,845,2879,845,2889,854,2889,5745,2889,5754,2889,5754,2879xm5754,364l5745,364,864,364,864,373,5745,373,5745,2879,5754,2879,5754,373,5754,364xe" filled="true" fillcolor="#4f81bc" stroked="false">
                  <v:path arrowok="t"/>
                  <v:fill type="solid"/>
                </v:shape>
                <v:shape style="position:absolute;left:1241;top:1604;width:4125;height:29" id="docshape38" coordorigin="1242,1604" coordsize="4125,29" path="m1700,1604l1242,1604,1242,1633,1700,1633,1700,1604xm2617,1609l2158,1609,2158,1633,2617,1633,2617,1609xm3534,1608l3075,1608,3075,1633,3534,1633,3534,1608xm4449,1608l3991,1608,3991,1633,4449,1633,4449,1608xm5366,1604l4908,1604,4908,1633,5366,1633,5366,1604xe" filled="true" fillcolor="#d2dfed" stroked="false">
                  <v:path arrowok="t"/>
                  <v:fill type="solid"/>
                </v:shape>
                <v:shape style="position:absolute;left:1241;top:1400;width:4125;height:209" id="docshape39" coordorigin="1242,1401" coordsize="4125,209" path="m1700,1425l1242,1425,1242,1604,1700,1604,1700,1425xm2617,1432l2158,1432,2158,1609,2617,1609,2617,1432xm3534,1425l3075,1425,3075,1608,3534,1608,3534,1425xm4449,1419l3991,1419,3991,1608,4449,1608,4449,1419xm5366,1401l4908,1401,4908,1604,5366,1604,5366,1401xe" filled="true" fillcolor="#5b92c9" stroked="false">
                  <v:path arrowok="t"/>
                  <v:fill type="solid"/>
                </v:shape>
                <v:shape style="position:absolute;left:1241;top:699;width:4125;height:732" id="docshape40" coordorigin="1242,700" coordsize="4125,732" path="m1700,751l1242,751,1242,1425,1700,1425,1700,751xm2617,767l2158,767,2158,1432,2617,1432,2617,767xm3534,750l3075,750,3075,1425,3534,1425,3534,750xm4449,744l3991,744,3991,1419,4449,1419,4449,744xm5366,700l4908,700,4908,1401,5366,1401,5366,700xe" filled="true" fillcolor="#b0c7dc" stroked="false">
                  <v:path arrowok="t"/>
                  <v:fill type="solid"/>
                </v:shape>
                <v:shape style="position:absolute;left:1241;top:1632;width:4125;height:122" id="docshape41" coordorigin="1242,1633" coordsize="4125,122" path="m1700,1633l1242,1633,1242,1754,1700,1754,1700,1633xm2617,1633l2158,1633,2158,1747,2617,1747,2617,1633xm3534,1633l3075,1633,3075,1743,3534,1743,3534,1633xm4449,1633l3991,1633,3991,1747,4449,1747,4449,1633xm5366,1633l4908,1633,4908,1750,5366,1750,5366,1633xe" filled="true" fillcolor="#2c5c9d" stroked="false">
                  <v:path arrowok="t"/>
                  <v:fill type="solid"/>
                </v:shape>
                <v:shape style="position:absolute;left:1011;top:1632;width:4585;height:2" id="docshape42" coordorigin="1012,1633" coordsize="4585,0" path="m1012,1633l1247,1633m1743,1633l2164,1633m2659,1633l3081,1633m3576,1633l3998,1633m4493,1633l4913,1633m5408,1633l5596,1633e" filled="false" stroked="true" strokeweight=".383041pt" strokecolor="#000000">
                  <v:path arrowok="t"/>
                  <v:stroke dashstyle="solid"/>
                </v:shape>
                <v:rect style="position:absolute;left:1428;top:1620;width:314;height:148" id="docshape43" filled="true" fillcolor="#2c5c9d" stroked="false">
                  <v:fill type="solid"/>
                </v:rect>
                <v:rect style="position:absolute;left:1247;top:1545;width:219;height:148" id="docshape44" filled="true" fillcolor="#d2dfed" stroked="false">
                  <v:fill type="solid"/>
                </v:rect>
                <v:rect style="position:absolute;left:1431;top:1441;width:308;height:148" id="docshape45" filled="true" fillcolor="#5b92c9" stroked="false">
                  <v:fill type="solid"/>
                </v:rect>
                <v:rect style="position:absolute;left:2345;top:1616;width:314;height:148" id="docshape46" filled="true" fillcolor="#2c5c9d" stroked="false">
                  <v:fill type="solid"/>
                </v:rect>
                <v:rect style="position:absolute;left:2164;top:1547;width:219;height:148" id="docshape47" filled="true" fillcolor="#d2dfed" stroked="false">
                  <v:fill type="solid"/>
                </v:rect>
                <v:rect style="position:absolute;left:2348;top:1447;width:308;height:146" id="docshape48" filled="true" fillcolor="#5b92c9" stroked="false">
                  <v:fill type="solid"/>
                </v:rect>
                <v:rect style="position:absolute;left:3262;top:1615;width:314;height:148" id="docshape49" filled="true" fillcolor="#2c5c9d" stroked="false">
                  <v:fill type="solid"/>
                </v:rect>
                <v:rect style="position:absolute;left:3081;top:1547;width:219;height:148" id="docshape50" filled="true" fillcolor="#d2dfed" stroked="false">
                  <v:fill type="solid"/>
                </v:rect>
                <v:rect style="position:absolute;left:3265;top:1442;width:308;height:148" id="docshape51" filled="true" fillcolor="#5b92c9" stroked="false">
                  <v:fill type="solid"/>
                </v:rect>
                <v:rect style="position:absolute;left:4179;top:1616;width:314;height:148" id="docshape52" filled="true" fillcolor="#2c5c9d" stroked="false">
                  <v:fill type="solid"/>
                </v:rect>
                <v:rect style="position:absolute;left:3997;top:1547;width:219;height:148" id="docshape53" filled="true" fillcolor="#d2dfed" stroked="false">
                  <v:fill type="solid"/>
                </v:rect>
                <v:rect style="position:absolute;left:4182;top:1440;width:307;height:148" id="docshape54" filled="true" fillcolor="#5b92c9" stroked="false">
                  <v:fill type="solid"/>
                </v:rect>
                <v:rect style="position:absolute;left:5096;top:1617;width:313;height:148" id="docshape55" filled="true" fillcolor="#2c5c9d" stroked="false">
                  <v:fill type="solid"/>
                </v:rect>
                <v:rect style="position:absolute;left:4913;top:1546;width:220;height:148" id="docshape56" filled="true" fillcolor="#d2dfed" stroked="false">
                  <v:fill type="solid"/>
                </v:rect>
                <v:rect style="position:absolute;left:5099;top:1430;width:307;height:148" id="docshape57" filled="true" fillcolor="#5b92c9" stroked="false">
                  <v:fill type="solid"/>
                </v:rect>
                <v:rect style="position:absolute;left:1011;top:2312;width:185;height:119" id="docshape58" filled="true" fillcolor="#b0c7dc" stroked="false">
                  <v:fill type="solid"/>
                </v:rect>
                <v:rect style="position:absolute;left:1011;top:2489;width:185;height:118" id="docshape59" filled="true" fillcolor="#5b92c9" stroked="false">
                  <v:fill type="solid"/>
                </v:rect>
                <v:rect style="position:absolute;left:1011;top:2664;width:185;height:119" id="docshape60" filled="true" fillcolor="#d2dfed" stroked="false">
                  <v:fill type="solid"/>
                </v:rect>
                <v:rect style="position:absolute;left:3019;top:2312;width:184;height:119" id="docshape61" filled="true" fillcolor="#2c5c9d" stroked="false">
                  <v:fill type="solid"/>
                </v:rect>
                <v:rect style="position:absolute;left:3019;top:2489;width:184;height:118" id="docshape62" filled="true" fillcolor="#a8a4a4" stroked="false">
                  <v:fill type="solid"/>
                </v:rect>
                <v:shape style="position:absolute;left:1242;top:2307;width:3538;height:493" type="#_x0000_t202" id="docshape63" filled="false" stroked="false">
                  <v:textbox inset="0,0,0,0">
                    <w:txbxContent>
                      <w:p>
                        <w:pPr>
                          <w:tabs>
                            <w:tab w:pos="2008" w:val="left" w:leader="none"/>
                          </w:tabs>
                          <w:spacing w:line="316" w:lineRule="auto" w:before="1"/>
                          <w:ind w:left="0" w:right="18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w w:val="115"/>
                            <w:sz w:val="11"/>
                          </w:rPr>
                          <w:t>Εξυπηρετούμενα</w:t>
                        </w:r>
                        <w:r>
                          <w:rPr>
                            <w:spacing w:val="-12"/>
                            <w:w w:val="115"/>
                            <w:sz w:val="11"/>
                          </w:rPr>
                          <w:t> </w:t>
                        </w:r>
                        <w:r>
                          <w:rPr>
                            <w:w w:val="115"/>
                            <w:sz w:val="11"/>
                          </w:rPr>
                          <w:t>Δάνεια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2"/>
                            <w:w w:val="115"/>
                            <w:sz w:val="11"/>
                          </w:rPr>
                          <w:t>Χρηματοδότηση</w:t>
                        </w:r>
                        <w:r>
                          <w:rPr>
                            <w:spacing w:val="-13"/>
                            <w:w w:val="11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11"/>
                          </w:rPr>
                          <w:t>&amp;</w:t>
                        </w:r>
                        <w:r>
                          <w:rPr>
                            <w:spacing w:val="-9"/>
                            <w:w w:val="115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11"/>
                          </w:rPr>
                          <w:t>Λοιπά Ομόλογα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2"/>
                            <w:w w:val="115"/>
                            <w:sz w:val="11"/>
                          </w:rPr>
                          <w:t>Καταθέσεις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w w:val="110"/>
                            <w:sz w:val="11"/>
                          </w:rPr>
                          <w:t>Μη</w:t>
                        </w:r>
                        <w:r>
                          <w:rPr>
                            <w:spacing w:val="-8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w w:val="110"/>
                            <w:sz w:val="11"/>
                          </w:rPr>
                          <w:t>Εξυπηρετούμενα</w:t>
                        </w:r>
                        <w:r>
                          <w:rPr>
                            <w:spacing w:val="-5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1"/>
                          </w:rPr>
                          <w:t>Δάνεια</w:t>
                        </w:r>
                      </w:p>
                    </w:txbxContent>
                  </v:textbox>
                  <w10:wrap type="none"/>
                </v:shape>
                <v:shape style="position:absolute;left:3868;top:1428;width:1638;height:795" type="#_x0000_t202" id="docshape64" filled="false" stroked="false">
                  <v:textbox inset="0,0,0,0">
                    <w:txbxContent>
                      <w:p>
                        <w:pPr>
                          <w:tabs>
                            <w:tab w:pos="1251" w:val="left" w:leader="none"/>
                          </w:tabs>
                          <w:spacing w:line="137" w:lineRule="exact" w:before="0"/>
                          <w:ind w:left="334" w:right="0" w:firstLine="0"/>
                          <w:jc w:val="left"/>
                          <w:rPr>
                            <w:position w:val="1"/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116</w:t>
                        </w:r>
                        <w:r>
                          <w:rPr>
                            <w:color w:val="FFFFFF"/>
                            <w:sz w:val="12"/>
                          </w:rPr>
                          <w:tab/>
                        </w:r>
                        <w:r>
                          <w:rPr>
                            <w:color w:val="FFFFFF"/>
                            <w:spacing w:val="5"/>
                            <w:w w:val="105"/>
                            <w:position w:val="1"/>
                            <w:sz w:val="12"/>
                          </w:rPr>
                          <w:t>126</w:t>
                        </w:r>
                      </w:p>
                      <w:p>
                        <w:pPr>
                          <w:tabs>
                            <w:tab w:pos="949" w:val="left" w:leader="none"/>
                          </w:tabs>
                          <w:spacing w:line="176" w:lineRule="exact" w:before="0"/>
                          <w:ind w:left="32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2"/>
                            <w:position w:val="7"/>
                            <w:sz w:val="12"/>
                          </w:rPr>
                          <w:t>16</w:t>
                        </w:r>
                        <w:r>
                          <w:rPr>
                            <w:spacing w:val="-19"/>
                            <w:position w:val="7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(70)</w:t>
                        </w:r>
                        <w:r>
                          <w:rPr>
                            <w:color w:val="FFFFFF"/>
                            <w:sz w:val="12"/>
                          </w:rPr>
                          <w:tab/>
                        </w:r>
                        <w:r>
                          <w:rPr>
                            <w:spacing w:val="2"/>
                            <w:position w:val="7"/>
                            <w:sz w:val="12"/>
                          </w:rPr>
                          <w:t>17</w:t>
                        </w:r>
                        <w:r>
                          <w:rPr>
                            <w:spacing w:val="-19"/>
                            <w:position w:val="7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(72)</w:t>
                        </w:r>
                      </w:p>
                      <w:p>
                        <w:pPr>
                          <w:tabs>
                            <w:tab w:pos="499" w:val="left" w:leader="none"/>
                            <w:tab w:pos="916" w:val="left" w:leader="none"/>
                            <w:tab w:pos="1416" w:val="left" w:leader="none"/>
                          </w:tabs>
                          <w:spacing w:line="135" w:lineRule="exact" w:before="0"/>
                          <w:ind w:left="0" w:right="58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000000"/>
                            <w:spacing w:val="-4"/>
                            <w:position w:val="1"/>
                            <w:sz w:val="12"/>
                            <w:shd w:fill="A8A4A4" w:color="auto" w:val="clear"/>
                          </w:rPr>
                          <w:t>(63)</w:t>
                        </w:r>
                        <w:r>
                          <w:rPr>
                            <w:color w:val="000000"/>
                            <w:position w:val="1"/>
                            <w:sz w:val="12"/>
                            <w:shd w:fill="A8A4A4" w:color="auto" w:val="clear"/>
                          </w:rPr>
                          <w:tab/>
                        </w:r>
                        <w:r>
                          <w:rPr>
                            <w:color w:val="000000"/>
                            <w:position w:val="1"/>
                            <w:sz w:val="12"/>
                          </w:rPr>
                          <w:tab/>
                        </w:r>
                        <w:r>
                          <w:rPr>
                            <w:color w:val="000000"/>
                            <w:spacing w:val="-21"/>
                            <w:sz w:val="12"/>
                            <w:shd w:fill="A8A4A4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z w:val="12"/>
                            <w:shd w:fill="A8A4A4" w:color="auto" w:val="clear"/>
                          </w:rPr>
                          <w:t>(68)</w:t>
                          <w:tab/>
                        </w:r>
                      </w:p>
                      <w:p>
                        <w:pPr>
                          <w:tabs>
                            <w:tab w:pos="925" w:val="left" w:leader="none"/>
                          </w:tabs>
                          <w:spacing w:before="49"/>
                          <w:ind w:left="-1" w:right="18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Α’</w:t>
                        </w:r>
                        <w:r>
                          <w:rPr>
                            <w:spacing w:val="18"/>
                            <w:w w:val="115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12"/>
                          </w:rPr>
                          <w:t>τρίμηνο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w w:val="115"/>
                            <w:sz w:val="12"/>
                          </w:rPr>
                          <w:t>Β’ </w:t>
                        </w:r>
                        <w:r>
                          <w:rPr>
                            <w:spacing w:val="-6"/>
                            <w:w w:val="115"/>
                            <w:sz w:val="12"/>
                          </w:rPr>
                          <w:t>τρίμηνο</w:t>
                        </w:r>
                      </w:p>
                      <w:p>
                        <w:pPr>
                          <w:tabs>
                            <w:tab w:pos="916" w:val="left" w:leader="none"/>
                          </w:tabs>
                          <w:spacing w:before="1"/>
                          <w:ind w:left="0" w:right="14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6"/>
                            <w:w w:val="105"/>
                            <w:sz w:val="12"/>
                          </w:rPr>
                          <w:t>2026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6"/>
                            <w:w w:val="105"/>
                            <w:sz w:val="12"/>
                          </w:rPr>
                          <w:t>2026</w:t>
                        </w:r>
                      </w:p>
                    </w:txbxContent>
                  </v:textbox>
                  <w10:wrap type="none"/>
                </v:shape>
                <v:shape style="position:absolute;left:2951;top:1924;width:730;height:299" type="#_x0000_t202" id="docshape6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Δ’</w:t>
                        </w:r>
                        <w:r>
                          <w:rPr>
                            <w:spacing w:val="16"/>
                            <w:w w:val="115"/>
                            <w:sz w:val="12"/>
                          </w:rPr>
                          <w:t> </w:t>
                        </w:r>
                        <w:r>
                          <w:rPr>
                            <w:spacing w:val="-6"/>
                            <w:w w:val="115"/>
                            <w:sz w:val="12"/>
                          </w:rPr>
                          <w:t>τρίμηνο</w:t>
                        </w:r>
                      </w:p>
                      <w:p>
                        <w:pPr>
                          <w:spacing w:before="1"/>
                          <w:ind w:left="0" w:right="22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6"/>
                            <w:w w:val="105"/>
                            <w:sz w:val="12"/>
                          </w:rPr>
                          <w:t>2025</w:t>
                        </w:r>
                      </w:p>
                    </w:txbxContent>
                  </v:textbox>
                  <w10:wrap type="none"/>
                </v:shape>
                <v:shape style="position:absolute;left:3101;top:1545;width:475;height:220" type="#_x0000_t202" id="docshape66" filled="false" stroked="false">
                  <v:textbox inset="0,0,0,0">
                    <w:txbxContent>
                      <w:p>
                        <w:pPr>
                          <w:spacing w:line="21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2"/>
                            <w:position w:val="7"/>
                            <w:sz w:val="12"/>
                          </w:rPr>
                          <w:t>16</w:t>
                        </w:r>
                        <w:r>
                          <w:rPr>
                            <w:spacing w:val="-19"/>
                            <w:position w:val="7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(68)</w:t>
                        </w:r>
                      </w:p>
                    </w:txbxContent>
                  </v:textbox>
                  <w10:wrap type="none"/>
                </v:shape>
                <v:shape style="position:absolute;left:3032;top:1719;width:521;height:152" type="#_x0000_t202" id="docshape67" filled="false" stroked="false">
                  <v:textbox inset="0,0,0,0">
                    <w:txbxContent>
                      <w:p>
                        <w:pPr>
                          <w:tabs>
                            <w:tab w:pos="500" w:val="left" w:leader="none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2"/>
                            <w:shd w:fill="A8A4A4" w:color="auto" w:val="clear"/>
                          </w:rPr>
                          <w:t>(64)</w:t>
                        </w:r>
                        <w:r>
                          <w:rPr>
                            <w:color w:val="000000"/>
                            <w:sz w:val="12"/>
                            <w:shd w:fill="A8A4A4" w:color="auto" w:val="clear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3286;top:1441;width:289;height:152" type="#_x0000_t202" id="docshape6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5"/>
                            <w:w w:val="105"/>
                            <w:sz w:val="12"/>
                          </w:rPr>
                          <w:t>112</w:t>
                        </w:r>
                      </w:p>
                    </w:txbxContent>
                  </v:textbox>
                  <w10:wrap type="none"/>
                </v:shape>
                <v:shape style="position:absolute;left:2369;top:1444;width:289;height:153" type="#_x0000_t202" id="docshape6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5"/>
                            <w:w w:val="105"/>
                            <w:sz w:val="12"/>
                          </w:rPr>
                          <w:t>110</w:t>
                        </w:r>
                      </w:p>
                    </w:txbxContent>
                  </v:textbox>
                  <w10:wrap type="none"/>
                </v:shape>
                <v:shape style="position:absolute;left:2048;top:1545;width:703;height:678" type="#_x0000_t202" id="docshape70" filled="false" stroked="false">
                  <v:textbox inset="0,0,0,0">
                    <w:txbxContent>
                      <w:p>
                        <w:pPr>
                          <w:spacing w:line="196" w:lineRule="exact" w:before="0"/>
                          <w:ind w:left="86" w:right="62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2"/>
                            <w:position w:val="7"/>
                            <w:sz w:val="12"/>
                          </w:rPr>
                          <w:t>15</w:t>
                        </w:r>
                        <w:r>
                          <w:rPr>
                            <w:spacing w:val="-19"/>
                            <w:position w:val="7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(70)</w:t>
                        </w:r>
                      </w:p>
                      <w:p>
                        <w:pPr>
                          <w:tabs>
                            <w:tab w:pos="499" w:val="left" w:leader="none"/>
                          </w:tabs>
                          <w:spacing w:line="127" w:lineRule="exact" w:before="0"/>
                          <w:ind w:left="0" w:right="62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2"/>
                            <w:shd w:fill="A8A4A4" w:color="auto" w:val="clear"/>
                          </w:rPr>
                          <w:t>(63)</w:t>
                        </w:r>
                        <w:r>
                          <w:rPr>
                            <w:color w:val="000000"/>
                            <w:sz w:val="12"/>
                            <w:shd w:fill="A8A4A4" w:color="auto" w:val="clear"/>
                          </w:rPr>
                          <w:tab/>
                        </w:r>
                      </w:p>
                      <w:p>
                        <w:pPr>
                          <w:spacing w:before="56"/>
                          <w:ind w:left="0" w:right="18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Γ’</w:t>
                        </w:r>
                        <w:r>
                          <w:rPr>
                            <w:spacing w:val="8"/>
                            <w:w w:val="115"/>
                            <w:sz w:val="12"/>
                          </w:rPr>
                          <w:t> </w:t>
                        </w:r>
                        <w:r>
                          <w:rPr>
                            <w:spacing w:val="-6"/>
                            <w:w w:val="115"/>
                            <w:sz w:val="12"/>
                          </w:rPr>
                          <w:t>τρίμηνο</w:t>
                        </w:r>
                      </w:p>
                      <w:p>
                        <w:pPr>
                          <w:spacing w:before="1"/>
                          <w:ind w:left="41" w:right="62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6"/>
                            <w:w w:val="105"/>
                            <w:sz w:val="12"/>
                          </w:rPr>
                          <w:t>2025</w:t>
                        </w:r>
                      </w:p>
                    </w:txbxContent>
                  </v:textbox>
                  <w10:wrap type="none"/>
                </v:shape>
                <v:shape style="position:absolute;left:1452;top:1439;width:290;height:152" type="#_x0000_t202" id="docshape7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110</w:t>
                        </w:r>
                        <w:r>
                          <w:rPr>
                            <w:color w:val="FFFFFF"/>
                            <w:w w:val="105"/>
                            <w:sz w:val="12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1127;top:1543;width:713;height:680" type="#_x0000_t202" id="docshape72" filled="false" stroked="false">
                  <v:textbox inset="0,0,0,0">
                    <w:txbxContent>
                      <w:p>
                        <w:pPr>
                          <w:spacing w:line="207" w:lineRule="exact" w:before="0"/>
                          <w:ind w:left="87" w:right="63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2"/>
                            <w:position w:val="8"/>
                            <w:sz w:val="12"/>
                          </w:rPr>
                          <w:t>18</w:t>
                        </w:r>
                        <w:r>
                          <w:rPr>
                            <w:spacing w:val="-19"/>
                            <w:position w:val="8"/>
                            <w:sz w:val="12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2"/>
                          </w:rPr>
                          <w:t>(75)</w:t>
                        </w:r>
                      </w:p>
                      <w:p>
                        <w:pPr>
                          <w:tabs>
                            <w:tab w:pos="499" w:val="left" w:leader="none"/>
                          </w:tabs>
                          <w:spacing w:line="132" w:lineRule="exact" w:before="0"/>
                          <w:ind w:left="0" w:right="63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2"/>
                            <w:shd w:fill="A8A4A4" w:color="auto" w:val="clear"/>
                          </w:rPr>
                          <w:t>(70)</w:t>
                        </w:r>
                        <w:r>
                          <w:rPr>
                            <w:color w:val="000000"/>
                            <w:sz w:val="12"/>
                            <w:shd w:fill="A8A4A4" w:color="auto" w:val="clear"/>
                          </w:rPr>
                          <w:tab/>
                        </w:r>
                      </w:p>
                      <w:p>
                        <w:pPr>
                          <w:spacing w:before="42"/>
                          <w:ind w:left="-1" w:right="18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15"/>
                            <w:sz w:val="12"/>
                          </w:rPr>
                          <w:t>Β’ </w:t>
                        </w:r>
                        <w:r>
                          <w:rPr>
                            <w:spacing w:val="-6"/>
                            <w:w w:val="115"/>
                            <w:sz w:val="12"/>
                          </w:rPr>
                          <w:t>τρίμηνο</w:t>
                        </w:r>
                      </w:p>
                      <w:p>
                        <w:pPr>
                          <w:spacing w:before="1"/>
                          <w:ind w:left="40" w:right="63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6"/>
                            <w:w w:val="105"/>
                            <w:sz w:val="12"/>
                          </w:rPr>
                          <w:t>2025</w:t>
                        </w:r>
                      </w:p>
                    </w:txbxContent>
                  </v:textbox>
                  <w10:wrap type="none"/>
                </v:shape>
                <v:shape style="position:absolute;left:5004;top:974;width:289;height:152" type="#_x0000_t202" id="docshape73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5"/>
                            <w:w w:val="105"/>
                            <w:sz w:val="12"/>
                          </w:rPr>
                          <w:t>433</w:t>
                        </w:r>
                      </w:p>
                    </w:txbxContent>
                  </v:textbox>
                  <w10:wrap type="none"/>
                </v:shape>
                <v:shape style="position:absolute;left:4087;top:1006;width:289;height:152" type="#_x0000_t202" id="docshape74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5"/>
                            <w:w w:val="105"/>
                            <w:sz w:val="12"/>
                          </w:rPr>
                          <w:t>417</w:t>
                        </w:r>
                      </w:p>
                    </w:txbxContent>
                  </v:textbox>
                  <w10:wrap type="none"/>
                </v:shape>
                <v:shape style="position:absolute;left:3170;top:1012;width:289;height:153" type="#_x0000_t202" id="docshape7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5"/>
                            <w:w w:val="105"/>
                            <w:sz w:val="12"/>
                          </w:rPr>
                          <w:t>417</w:t>
                        </w:r>
                      </w:p>
                    </w:txbxContent>
                  </v:textbox>
                  <w10:wrap type="none"/>
                </v:shape>
                <v:shape style="position:absolute;left:2253;top:1023;width:289;height:153" type="#_x0000_t202" id="docshape7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5"/>
                            <w:w w:val="105"/>
                            <w:sz w:val="12"/>
                          </w:rPr>
                          <w:t>410</w:t>
                        </w:r>
                      </w:p>
                    </w:txbxContent>
                  </v:textbox>
                  <w10:wrap type="none"/>
                </v:shape>
                <v:shape style="position:absolute;left:1337;top:1012;width:289;height:153" type="#_x0000_t202" id="docshape7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5"/>
                            <w:w w:val="105"/>
                            <w:sz w:val="12"/>
                          </w:rPr>
                          <w:t>417</w:t>
                        </w:r>
                      </w:p>
                    </w:txbxContent>
                  </v:textbox>
                  <w10:wrap type="none"/>
                </v:shape>
                <v:shape style="position:absolute;left:5004;top:530;width:290;height:152" type="#_x0000_t202" id="docshape7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436</w:t>
                        </w:r>
                        <w:r>
                          <w:rPr>
                            <w:w w:val="105"/>
                            <w:sz w:val="12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4087;top:574;width:289;height:152" type="#_x0000_t202" id="docshape7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5"/>
                            <w:w w:val="105"/>
                            <w:sz w:val="12"/>
                          </w:rPr>
                          <w:t>416</w:t>
                        </w:r>
                      </w:p>
                    </w:txbxContent>
                  </v:textbox>
                  <w10:wrap type="none"/>
                </v:shape>
                <v:shape style="position:absolute;left:3171;top:580;width:289;height:153" type="#_x0000_t202" id="docshape8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5"/>
                            <w:w w:val="105"/>
                            <w:sz w:val="12"/>
                          </w:rPr>
                          <w:t>413</w:t>
                        </w:r>
                      </w:p>
                    </w:txbxContent>
                  </v:textbox>
                  <w10:wrap type="none"/>
                </v:shape>
                <v:shape style="position:absolute;left:2254;top:597;width:289;height:152" type="#_x0000_t202" id="docshape8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5"/>
                            <w:w w:val="105"/>
                            <w:sz w:val="12"/>
                          </w:rPr>
                          <w:t>402</w:t>
                        </w:r>
                      </w:p>
                    </w:txbxContent>
                  </v:textbox>
                  <w10:wrap type="none"/>
                </v:shape>
                <v:shape style="position:absolute;left:1109;top:408;width:516;height:326" type="#_x0000_t202" id="docshape8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47" w:firstLine="0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color w:val="8E8E8E"/>
                            <w:w w:val="105"/>
                            <w:sz w:val="12"/>
                          </w:rPr>
                          <w:t>€</w:t>
                        </w:r>
                        <w:r>
                          <w:rPr>
                            <w:color w:val="8E8E8E"/>
                            <w:spacing w:val="10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color w:val="8E8E8E"/>
                            <w:spacing w:val="-2"/>
                            <w:w w:val="105"/>
                            <w:sz w:val="12"/>
                          </w:rPr>
                          <w:t>εκατ.</w:t>
                        </w:r>
                      </w:p>
                      <w:p>
                        <w:pPr>
                          <w:spacing w:before="28"/>
                          <w:ind w:left="0" w:right="18" w:firstLine="0"/>
                          <w:jc w:val="right"/>
                          <w:rPr>
                            <w:sz w:val="12"/>
                          </w:rPr>
                        </w:pPr>
                        <w:r>
                          <w:rPr>
                            <w:spacing w:val="5"/>
                            <w:w w:val="105"/>
                            <w:sz w:val="12"/>
                          </w:rPr>
                          <w:t>399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3850513</wp:posOffset>
                </wp:positionH>
                <wp:positionV relativeFrom="paragraph">
                  <wp:posOffset>231039</wp:posOffset>
                </wp:positionV>
                <wp:extent cx="3115945" cy="1603375"/>
                <wp:effectExtent l="0" t="0" r="0" b="0"/>
                <wp:wrapTopAndBottom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3115945" cy="1603375"/>
                          <a:chExt cx="3115945" cy="160337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3115945" cy="160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5945" h="1603375">
                                <a:moveTo>
                                  <a:pt x="6083" y="1597164"/>
                                </a:moveTo>
                                <a:lnTo>
                                  <a:pt x="0" y="1597164"/>
                                </a:lnTo>
                                <a:lnTo>
                                  <a:pt x="0" y="1603248"/>
                                </a:lnTo>
                                <a:lnTo>
                                  <a:pt x="6083" y="1603248"/>
                                </a:lnTo>
                                <a:lnTo>
                                  <a:pt x="6083" y="1597164"/>
                                </a:lnTo>
                                <a:close/>
                              </a:path>
                              <a:path w="3115945" h="160337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97152"/>
                                </a:lnTo>
                                <a:lnTo>
                                  <a:pt x="6083" y="159715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3115945" h="1603375">
                                <a:moveTo>
                                  <a:pt x="3115691" y="1597164"/>
                                </a:moveTo>
                                <a:lnTo>
                                  <a:pt x="3109595" y="1597164"/>
                                </a:lnTo>
                                <a:lnTo>
                                  <a:pt x="6096" y="1597164"/>
                                </a:lnTo>
                                <a:lnTo>
                                  <a:pt x="6096" y="1603248"/>
                                </a:lnTo>
                                <a:lnTo>
                                  <a:pt x="3109595" y="1603248"/>
                                </a:lnTo>
                                <a:lnTo>
                                  <a:pt x="3115691" y="1603248"/>
                                </a:lnTo>
                                <a:lnTo>
                                  <a:pt x="3115691" y="1597164"/>
                                </a:lnTo>
                                <a:close/>
                              </a:path>
                              <a:path w="3115945" h="1603375">
                                <a:moveTo>
                                  <a:pt x="3115691" y="0"/>
                                </a:moveTo>
                                <a:lnTo>
                                  <a:pt x="3109595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3109595" y="6096"/>
                                </a:lnTo>
                                <a:lnTo>
                                  <a:pt x="3109595" y="1597152"/>
                                </a:lnTo>
                                <a:lnTo>
                                  <a:pt x="3115691" y="1597152"/>
                                </a:lnTo>
                                <a:lnTo>
                                  <a:pt x="3115691" y="6096"/>
                                </a:lnTo>
                                <a:lnTo>
                                  <a:pt x="3115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18706" y="772629"/>
                            <a:ext cx="221805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055" h="82550">
                                <a:moveTo>
                                  <a:pt x="270484" y="36258"/>
                                </a:moveTo>
                                <a:lnTo>
                                  <a:pt x="0" y="36258"/>
                                </a:lnTo>
                                <a:lnTo>
                                  <a:pt x="0" y="81991"/>
                                </a:lnTo>
                                <a:lnTo>
                                  <a:pt x="270484" y="81991"/>
                                </a:lnTo>
                                <a:lnTo>
                                  <a:pt x="270484" y="36258"/>
                                </a:lnTo>
                                <a:close/>
                              </a:path>
                              <a:path w="2218055" h="82550">
                                <a:moveTo>
                                  <a:pt x="520331" y="37122"/>
                                </a:moveTo>
                                <a:lnTo>
                                  <a:pt x="487248" y="37122"/>
                                </a:lnTo>
                                <a:lnTo>
                                  <a:pt x="487248" y="81991"/>
                                </a:lnTo>
                                <a:lnTo>
                                  <a:pt x="520331" y="81991"/>
                                </a:lnTo>
                                <a:lnTo>
                                  <a:pt x="520331" y="37122"/>
                                </a:lnTo>
                                <a:close/>
                              </a:path>
                              <a:path w="2218055" h="82550">
                                <a:moveTo>
                                  <a:pt x="757745" y="37122"/>
                                </a:moveTo>
                                <a:lnTo>
                                  <a:pt x="589826" y="37122"/>
                                </a:lnTo>
                                <a:lnTo>
                                  <a:pt x="589826" y="81991"/>
                                </a:lnTo>
                                <a:lnTo>
                                  <a:pt x="757745" y="81991"/>
                                </a:lnTo>
                                <a:lnTo>
                                  <a:pt x="757745" y="37122"/>
                                </a:lnTo>
                                <a:close/>
                              </a:path>
                              <a:path w="2218055" h="82550">
                                <a:moveTo>
                                  <a:pt x="1244142" y="38849"/>
                                </a:moveTo>
                                <a:lnTo>
                                  <a:pt x="973645" y="38849"/>
                                </a:lnTo>
                                <a:lnTo>
                                  <a:pt x="973645" y="81991"/>
                                </a:lnTo>
                                <a:lnTo>
                                  <a:pt x="1244142" y="81991"/>
                                </a:lnTo>
                                <a:lnTo>
                                  <a:pt x="1244142" y="38849"/>
                                </a:lnTo>
                                <a:close/>
                              </a:path>
                              <a:path w="2218055" h="82550">
                                <a:moveTo>
                                  <a:pt x="1731352" y="24168"/>
                                </a:moveTo>
                                <a:lnTo>
                                  <a:pt x="1460868" y="24168"/>
                                </a:lnTo>
                                <a:lnTo>
                                  <a:pt x="1460868" y="81991"/>
                                </a:lnTo>
                                <a:lnTo>
                                  <a:pt x="1731352" y="81991"/>
                                </a:lnTo>
                                <a:lnTo>
                                  <a:pt x="1731352" y="24168"/>
                                </a:lnTo>
                                <a:close/>
                              </a:path>
                              <a:path w="2218055" h="82550">
                                <a:moveTo>
                                  <a:pt x="2217750" y="0"/>
                                </a:moveTo>
                                <a:lnTo>
                                  <a:pt x="1947252" y="0"/>
                                </a:lnTo>
                                <a:lnTo>
                                  <a:pt x="1947252" y="81991"/>
                                </a:lnTo>
                                <a:lnTo>
                                  <a:pt x="2217750" y="81991"/>
                                </a:lnTo>
                                <a:lnTo>
                                  <a:pt x="2217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18706" y="627570"/>
                            <a:ext cx="221805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055" h="184150">
                                <a:moveTo>
                                  <a:pt x="270484" y="138150"/>
                                </a:moveTo>
                                <a:lnTo>
                                  <a:pt x="0" y="138150"/>
                                </a:lnTo>
                                <a:lnTo>
                                  <a:pt x="0" y="181317"/>
                                </a:lnTo>
                                <a:lnTo>
                                  <a:pt x="270484" y="181317"/>
                                </a:lnTo>
                                <a:lnTo>
                                  <a:pt x="270484" y="138150"/>
                                </a:lnTo>
                                <a:close/>
                              </a:path>
                              <a:path w="2218055" h="184150">
                                <a:moveTo>
                                  <a:pt x="757745" y="176136"/>
                                </a:moveTo>
                                <a:lnTo>
                                  <a:pt x="487248" y="176136"/>
                                </a:lnTo>
                                <a:lnTo>
                                  <a:pt x="487248" y="182181"/>
                                </a:lnTo>
                                <a:lnTo>
                                  <a:pt x="757745" y="182181"/>
                                </a:lnTo>
                                <a:lnTo>
                                  <a:pt x="757745" y="176136"/>
                                </a:lnTo>
                                <a:close/>
                              </a:path>
                              <a:path w="2218055" h="184150">
                                <a:moveTo>
                                  <a:pt x="1244142" y="153695"/>
                                </a:moveTo>
                                <a:lnTo>
                                  <a:pt x="973645" y="153695"/>
                                </a:lnTo>
                                <a:lnTo>
                                  <a:pt x="973645" y="183908"/>
                                </a:lnTo>
                                <a:lnTo>
                                  <a:pt x="1244142" y="183908"/>
                                </a:lnTo>
                                <a:lnTo>
                                  <a:pt x="1244142" y="153695"/>
                                </a:lnTo>
                                <a:close/>
                              </a:path>
                              <a:path w="2218055" h="184150">
                                <a:moveTo>
                                  <a:pt x="1731352" y="158013"/>
                                </a:moveTo>
                                <a:lnTo>
                                  <a:pt x="1460868" y="158013"/>
                                </a:lnTo>
                                <a:lnTo>
                                  <a:pt x="1460868" y="169227"/>
                                </a:lnTo>
                                <a:lnTo>
                                  <a:pt x="1731352" y="169227"/>
                                </a:lnTo>
                                <a:lnTo>
                                  <a:pt x="1731352" y="158013"/>
                                </a:lnTo>
                                <a:close/>
                              </a:path>
                              <a:path w="2218055" h="184150">
                                <a:moveTo>
                                  <a:pt x="2217750" y="0"/>
                                </a:moveTo>
                                <a:lnTo>
                                  <a:pt x="1947252" y="0"/>
                                </a:lnTo>
                                <a:lnTo>
                                  <a:pt x="1947252" y="145059"/>
                                </a:lnTo>
                                <a:lnTo>
                                  <a:pt x="2217750" y="145059"/>
                                </a:lnTo>
                                <a:lnTo>
                                  <a:pt x="2217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8E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418706" y="514464"/>
                            <a:ext cx="221805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055" h="289560">
                                <a:moveTo>
                                  <a:pt x="270484" y="117424"/>
                                </a:moveTo>
                                <a:lnTo>
                                  <a:pt x="0" y="117424"/>
                                </a:lnTo>
                                <a:lnTo>
                                  <a:pt x="0" y="251256"/>
                                </a:lnTo>
                                <a:lnTo>
                                  <a:pt x="270484" y="251256"/>
                                </a:lnTo>
                                <a:lnTo>
                                  <a:pt x="270484" y="117424"/>
                                </a:lnTo>
                                <a:close/>
                              </a:path>
                              <a:path w="2218055" h="289560">
                                <a:moveTo>
                                  <a:pt x="757745" y="176136"/>
                                </a:moveTo>
                                <a:lnTo>
                                  <a:pt x="487248" y="176136"/>
                                </a:lnTo>
                                <a:lnTo>
                                  <a:pt x="487248" y="289242"/>
                                </a:lnTo>
                                <a:lnTo>
                                  <a:pt x="757745" y="289242"/>
                                </a:lnTo>
                                <a:lnTo>
                                  <a:pt x="757745" y="176136"/>
                                </a:lnTo>
                                <a:close/>
                              </a:path>
                              <a:path w="2218055" h="289560">
                                <a:moveTo>
                                  <a:pt x="1244142" y="166636"/>
                                </a:moveTo>
                                <a:lnTo>
                                  <a:pt x="973645" y="166636"/>
                                </a:lnTo>
                                <a:lnTo>
                                  <a:pt x="973645" y="266801"/>
                                </a:lnTo>
                                <a:lnTo>
                                  <a:pt x="1244142" y="266801"/>
                                </a:lnTo>
                                <a:lnTo>
                                  <a:pt x="1244142" y="166636"/>
                                </a:lnTo>
                                <a:close/>
                              </a:path>
                              <a:path w="2218055" h="289560">
                                <a:moveTo>
                                  <a:pt x="1731352" y="168363"/>
                                </a:moveTo>
                                <a:lnTo>
                                  <a:pt x="1460868" y="168363"/>
                                </a:lnTo>
                                <a:lnTo>
                                  <a:pt x="1460868" y="271119"/>
                                </a:lnTo>
                                <a:lnTo>
                                  <a:pt x="1731352" y="271119"/>
                                </a:lnTo>
                                <a:lnTo>
                                  <a:pt x="1731352" y="168363"/>
                                </a:lnTo>
                                <a:close/>
                              </a:path>
                              <a:path w="2218055" h="289560">
                                <a:moveTo>
                                  <a:pt x="2217750" y="0"/>
                                </a:moveTo>
                                <a:lnTo>
                                  <a:pt x="1947252" y="0"/>
                                </a:lnTo>
                                <a:lnTo>
                                  <a:pt x="1947252" y="113106"/>
                                </a:lnTo>
                                <a:lnTo>
                                  <a:pt x="2217750" y="113106"/>
                                </a:lnTo>
                                <a:lnTo>
                                  <a:pt x="2217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18706" y="496328"/>
                            <a:ext cx="221805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055" h="194310">
                                <a:moveTo>
                                  <a:pt x="270484" y="120015"/>
                                </a:moveTo>
                                <a:lnTo>
                                  <a:pt x="0" y="120015"/>
                                </a:lnTo>
                                <a:lnTo>
                                  <a:pt x="0" y="135559"/>
                                </a:lnTo>
                                <a:lnTo>
                                  <a:pt x="270484" y="135559"/>
                                </a:lnTo>
                                <a:lnTo>
                                  <a:pt x="270484" y="120015"/>
                                </a:lnTo>
                                <a:close/>
                              </a:path>
                              <a:path w="2218055" h="194310">
                                <a:moveTo>
                                  <a:pt x="757745" y="178727"/>
                                </a:moveTo>
                                <a:lnTo>
                                  <a:pt x="487248" y="178727"/>
                                </a:lnTo>
                                <a:lnTo>
                                  <a:pt x="487248" y="194271"/>
                                </a:lnTo>
                                <a:lnTo>
                                  <a:pt x="757745" y="194271"/>
                                </a:lnTo>
                                <a:lnTo>
                                  <a:pt x="757745" y="178727"/>
                                </a:lnTo>
                                <a:close/>
                              </a:path>
                              <a:path w="2218055" h="194310">
                                <a:moveTo>
                                  <a:pt x="1244142" y="175272"/>
                                </a:moveTo>
                                <a:lnTo>
                                  <a:pt x="973645" y="175272"/>
                                </a:lnTo>
                                <a:lnTo>
                                  <a:pt x="973645" y="184772"/>
                                </a:lnTo>
                                <a:lnTo>
                                  <a:pt x="1244142" y="184772"/>
                                </a:lnTo>
                                <a:lnTo>
                                  <a:pt x="1244142" y="175272"/>
                                </a:lnTo>
                                <a:close/>
                              </a:path>
                              <a:path w="2218055" h="194310">
                                <a:moveTo>
                                  <a:pt x="1731352" y="164922"/>
                                </a:moveTo>
                                <a:lnTo>
                                  <a:pt x="1460868" y="164922"/>
                                </a:lnTo>
                                <a:lnTo>
                                  <a:pt x="1460868" y="186499"/>
                                </a:lnTo>
                                <a:lnTo>
                                  <a:pt x="1731352" y="186499"/>
                                </a:lnTo>
                                <a:lnTo>
                                  <a:pt x="1731352" y="164922"/>
                                </a:lnTo>
                                <a:close/>
                              </a:path>
                              <a:path w="2218055" h="194310">
                                <a:moveTo>
                                  <a:pt x="2217750" y="0"/>
                                </a:moveTo>
                                <a:lnTo>
                                  <a:pt x="1947252" y="0"/>
                                </a:lnTo>
                                <a:lnTo>
                                  <a:pt x="1947252" y="18135"/>
                                </a:lnTo>
                                <a:lnTo>
                                  <a:pt x="2217750" y="18135"/>
                                </a:lnTo>
                                <a:lnTo>
                                  <a:pt x="2217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2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18706" y="383222"/>
                            <a:ext cx="221805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055" h="292100">
                                <a:moveTo>
                                  <a:pt x="270484" y="143332"/>
                                </a:moveTo>
                                <a:lnTo>
                                  <a:pt x="0" y="143332"/>
                                </a:lnTo>
                                <a:lnTo>
                                  <a:pt x="0" y="233121"/>
                                </a:lnTo>
                                <a:lnTo>
                                  <a:pt x="270484" y="233121"/>
                                </a:lnTo>
                                <a:lnTo>
                                  <a:pt x="270484" y="143332"/>
                                </a:lnTo>
                                <a:close/>
                              </a:path>
                              <a:path w="2218055" h="292100">
                                <a:moveTo>
                                  <a:pt x="757745" y="189953"/>
                                </a:moveTo>
                                <a:lnTo>
                                  <a:pt x="487248" y="189953"/>
                                </a:lnTo>
                                <a:lnTo>
                                  <a:pt x="487248" y="291833"/>
                                </a:lnTo>
                                <a:lnTo>
                                  <a:pt x="757745" y="291833"/>
                                </a:lnTo>
                                <a:lnTo>
                                  <a:pt x="757745" y="189953"/>
                                </a:lnTo>
                                <a:close/>
                              </a:path>
                              <a:path w="2218055" h="292100">
                                <a:moveTo>
                                  <a:pt x="1244142" y="170954"/>
                                </a:moveTo>
                                <a:lnTo>
                                  <a:pt x="973645" y="170954"/>
                                </a:lnTo>
                                <a:lnTo>
                                  <a:pt x="973645" y="288378"/>
                                </a:lnTo>
                                <a:lnTo>
                                  <a:pt x="1244142" y="288378"/>
                                </a:lnTo>
                                <a:lnTo>
                                  <a:pt x="1244142" y="170954"/>
                                </a:lnTo>
                                <a:close/>
                              </a:path>
                              <a:path w="2218055" h="292100">
                                <a:moveTo>
                                  <a:pt x="1731352" y="157149"/>
                                </a:moveTo>
                                <a:lnTo>
                                  <a:pt x="1460868" y="157149"/>
                                </a:lnTo>
                                <a:lnTo>
                                  <a:pt x="1460868" y="278028"/>
                                </a:lnTo>
                                <a:lnTo>
                                  <a:pt x="1731352" y="278028"/>
                                </a:lnTo>
                                <a:lnTo>
                                  <a:pt x="1731352" y="157149"/>
                                </a:lnTo>
                                <a:close/>
                              </a:path>
                              <a:path w="2218055" h="292100">
                                <a:moveTo>
                                  <a:pt x="2217750" y="0"/>
                                </a:moveTo>
                                <a:lnTo>
                                  <a:pt x="1947252" y="0"/>
                                </a:lnTo>
                                <a:lnTo>
                                  <a:pt x="1947252" y="113106"/>
                                </a:lnTo>
                                <a:lnTo>
                                  <a:pt x="2217750" y="113106"/>
                                </a:lnTo>
                                <a:lnTo>
                                  <a:pt x="2217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C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10343" y="854615"/>
                            <a:ext cx="2434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4590" h="0">
                                <a:moveTo>
                                  <a:pt x="0" y="0"/>
                                </a:moveTo>
                                <a:lnTo>
                                  <a:pt x="118289" y="0"/>
                                </a:lnTo>
                              </a:path>
                              <a:path w="2434590" h="0">
                                <a:moveTo>
                                  <a:pt x="234097" y="0"/>
                                </a:moveTo>
                                <a:lnTo>
                                  <a:pt x="628706" y="0"/>
                                </a:lnTo>
                              </a:path>
                              <a:path w="2434590" h="0">
                                <a:moveTo>
                                  <a:pt x="698191" y="0"/>
                                </a:moveTo>
                                <a:lnTo>
                                  <a:pt x="1091938" y="0"/>
                                </a:lnTo>
                              </a:path>
                              <a:path w="2434590" h="0">
                                <a:moveTo>
                                  <a:pt x="1207746" y="0"/>
                                </a:moveTo>
                                <a:lnTo>
                                  <a:pt x="2434483" y="0"/>
                                </a:lnTo>
                              </a:path>
                            </a:pathLst>
                          </a:custGeom>
                          <a:ln w="53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140886" y="788161"/>
                            <a:ext cx="101981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810" h="43180">
                                <a:moveTo>
                                  <a:pt x="44806" y="0"/>
                                </a:moveTo>
                                <a:lnTo>
                                  <a:pt x="0" y="43141"/>
                                </a:lnTo>
                              </a:path>
                              <a:path w="1019810" h="43180">
                                <a:moveTo>
                                  <a:pt x="1019247" y="0"/>
                                </a:moveTo>
                                <a:lnTo>
                                  <a:pt x="974441" y="37774"/>
                                </a:lnTo>
                              </a:path>
                            </a:pathLst>
                          </a:custGeom>
                          <a:ln w="35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64293" y="736328"/>
                            <a:ext cx="11557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104139">
                                <a:moveTo>
                                  <a:pt x="114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609"/>
                                </a:lnTo>
                                <a:lnTo>
                                  <a:pt x="114980" y="103609"/>
                                </a:lnTo>
                                <a:lnTo>
                                  <a:pt x="114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8E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939049" y="631883"/>
                            <a:ext cx="6985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104139">
                                <a:moveTo>
                                  <a:pt x="69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609"/>
                                </a:lnTo>
                                <a:lnTo>
                                  <a:pt x="69484" y="103609"/>
                                </a:lnTo>
                                <a:lnTo>
                                  <a:pt x="69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2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82127" y="1161127"/>
                            <a:ext cx="10731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83820">
                                <a:moveTo>
                                  <a:pt x="106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751"/>
                                </a:lnTo>
                                <a:lnTo>
                                  <a:pt x="106708" y="83751"/>
                                </a:lnTo>
                                <a:lnTo>
                                  <a:pt x="106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82127" y="1285458"/>
                            <a:ext cx="10731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83820">
                                <a:moveTo>
                                  <a:pt x="106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751"/>
                                </a:lnTo>
                                <a:lnTo>
                                  <a:pt x="106708" y="83751"/>
                                </a:lnTo>
                                <a:lnTo>
                                  <a:pt x="106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5C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82127" y="1409790"/>
                            <a:ext cx="10731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83820">
                                <a:moveTo>
                                  <a:pt x="106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751"/>
                                </a:lnTo>
                                <a:lnTo>
                                  <a:pt x="106708" y="83751"/>
                                </a:lnTo>
                                <a:lnTo>
                                  <a:pt x="106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2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734815" y="1161127"/>
                            <a:ext cx="10731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83820">
                                <a:moveTo>
                                  <a:pt x="106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751"/>
                                </a:lnTo>
                                <a:lnTo>
                                  <a:pt x="106708" y="83751"/>
                                </a:lnTo>
                                <a:lnTo>
                                  <a:pt x="106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734815" y="1285459"/>
                            <a:ext cx="10731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83820">
                                <a:moveTo>
                                  <a:pt x="106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751"/>
                                </a:lnTo>
                                <a:lnTo>
                                  <a:pt x="106708" y="83751"/>
                                </a:lnTo>
                                <a:lnTo>
                                  <a:pt x="106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8E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734816" y="1409790"/>
                            <a:ext cx="10731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83820">
                                <a:moveTo>
                                  <a:pt x="106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751"/>
                                </a:lnTo>
                                <a:lnTo>
                                  <a:pt x="106708" y="83751"/>
                                </a:lnTo>
                                <a:lnTo>
                                  <a:pt x="106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B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79630" y="49041"/>
                            <a:ext cx="28448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8E8E8E"/>
                                  <w:sz w:val="13"/>
                                </w:rPr>
                                <w:t>€</w:t>
                              </w:r>
                              <w:r>
                                <w:rPr>
                                  <w:color w:val="8E8E8E"/>
                                  <w:spacing w:val="-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8E8E8E"/>
                                  <w:spacing w:val="-6"/>
                                  <w:sz w:val="13"/>
                                </w:rPr>
                                <w:t>εκατ.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418706" y="306195"/>
                            <a:ext cx="283210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9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3"/>
                                </w:rPr>
                                <w:t>135</w:t>
                              </w:r>
                            </w:p>
                            <w:p>
                              <w:pPr>
                                <w:spacing w:before="27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spacing w:val="61"/>
                                  <w:w w:val="150"/>
                                  <w:sz w:val="13"/>
                                  <w:shd w:fill="B0C7D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5"/>
                                  <w:sz w:val="13"/>
                                  <w:shd w:fill="B0C7DC" w:color="auto" w:val="clear"/>
                                </w:rPr>
                                <w:t>32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3"/>
                                  <w:shd w:fill="B0C7DC" w:color="auto" w:val="clear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434002" y="644626"/>
                            <a:ext cx="252729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0" w:lineRule="exact" w:before="4"/>
                                <w:ind w:left="1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3"/>
                                </w:rPr>
                                <w:t>42</w:t>
                              </w:r>
                            </w:p>
                            <w:p>
                              <w:pPr>
                                <w:spacing w:line="223" w:lineRule="auto"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w w:val="95"/>
                                  <w:position w:val="-6"/>
                                  <w:sz w:val="13"/>
                                  <w:shd w:fill="94B8DF" w:color="auto" w:val="clear"/>
                                </w:rPr>
                                <w:t>14</w:t>
                              </w:r>
                              <w:r>
                                <w:rPr>
                                  <w:color w:val="000000"/>
                                  <w:spacing w:val="-2"/>
                                  <w:position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5"/>
                                  <w:sz w:val="13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434830" y="518424"/>
                            <a:ext cx="234950" cy="160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position w:val="-7"/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3"/>
                                </w:rPr>
                                <w:t>28</w:t>
                              </w:r>
                              <w:r>
                                <w:rPr>
                                  <w:color w:val="FFFFFF"/>
                                  <w:spacing w:val="4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95"/>
                                  <w:position w:val="-7"/>
                                  <w:sz w:val="13"/>
                                  <w:shd w:fill="5B92C9" w:color="auto" w:val="clear"/>
                                </w:rPr>
                                <w:t>5</w:t>
                              </w:r>
                              <w:r>
                                <w:rPr>
                                  <w:color w:val="FFFFFF"/>
                                  <w:spacing w:val="40"/>
                                  <w:position w:val="-7"/>
                                  <w:sz w:val="13"/>
                                  <w:shd w:fill="5B92C9" w:color="auto" w:val="clear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905961" y="350058"/>
                            <a:ext cx="283210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107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3"/>
                                </w:rPr>
                                <w:t>122</w:t>
                              </w:r>
                            </w:p>
                            <w:p>
                              <w:pPr>
                                <w:spacing w:before="27"/>
                                <w:ind w:left="0" w:right="18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spacing w:val="61"/>
                                  <w:w w:val="150"/>
                                  <w:sz w:val="13"/>
                                  <w:shd w:fill="B0C7D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5"/>
                                  <w:sz w:val="13"/>
                                  <w:shd w:fill="B0C7DC" w:color="auto" w:val="clear"/>
                                </w:rPr>
                                <w:t>33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3"/>
                                  <w:shd w:fill="B0C7DC" w:color="auto" w:val="clear"/>
                                </w:rPr>
                                <w:t> </w:t>
                              </w:r>
                            </w:p>
                            <w:p>
                              <w:pPr>
                                <w:spacing w:before="4"/>
                                <w:ind w:left="0" w:right="41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3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1392355" y="304468"/>
                            <a:ext cx="283210" cy="238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91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3"/>
                                </w:rPr>
                                <w:t>136</w:t>
                              </w:r>
                            </w:p>
                            <w:p>
                              <w:pPr>
                                <w:spacing w:before="49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spacing w:val="62"/>
                                  <w:w w:val="150"/>
                                  <w:sz w:val="13"/>
                                  <w:shd w:fill="B0C7D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5"/>
                                  <w:sz w:val="13"/>
                                  <w:shd w:fill="B0C7DC" w:color="auto" w:val="clear"/>
                                </w:rPr>
                                <w:t>41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3"/>
                                  <w:shd w:fill="B0C7DC" w:color="auto" w:val="clear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947528" y="630335"/>
                            <a:ext cx="5905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95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947528" y="694227"/>
                            <a:ext cx="361950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position w:val="-5"/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w w:val="95"/>
                                  <w:position w:val="-8"/>
                                  <w:sz w:val="13"/>
                                  <w:shd w:fill="8E8E8E" w:color="auto" w:val="clear"/>
                                </w:rPr>
                                <w:t>2</w:t>
                              </w:r>
                              <w:r>
                                <w:rPr>
                                  <w:color w:val="000000"/>
                                  <w:spacing w:val="-21"/>
                                  <w:w w:val="95"/>
                                  <w:position w:val="-8"/>
                                  <w:sz w:val="13"/>
                                  <w:shd w:fill="8E8E8E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23"/>
                                  <w:position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sz w:val="13"/>
                                </w:rPr>
                                <w:t>36</w:t>
                              </w:r>
                              <w:r>
                                <w:rPr>
                                  <w:color w:val="000000"/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5"/>
                                  <w:position w:val="-5"/>
                                  <w:sz w:val="13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1408761" y="558456"/>
                            <a:ext cx="234950" cy="17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position w:val="-9"/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3"/>
                                </w:rPr>
                                <w:t>37</w:t>
                              </w:r>
                              <w:r>
                                <w:rPr>
                                  <w:color w:val="FFFFFF"/>
                                  <w:spacing w:val="4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95"/>
                                  <w:position w:val="-9"/>
                                  <w:sz w:val="13"/>
                                  <w:shd w:fill="5B92C9" w:color="auto" w:val="clear"/>
                                </w:rPr>
                                <w:t>3</w:t>
                              </w:r>
                              <w:r>
                                <w:rPr>
                                  <w:color w:val="FFFFFF"/>
                                  <w:spacing w:val="40"/>
                                  <w:position w:val="-9"/>
                                  <w:sz w:val="13"/>
                                  <w:shd w:fill="5B92C9" w:color="auto" w:val="clear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407934" y="780547"/>
                            <a:ext cx="11747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95"/>
                                  <w:sz w:val="13"/>
                                  <w:shd w:fill="94B8DF" w:color="auto" w:val="clear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1408761" y="677076"/>
                            <a:ext cx="251460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position w:val="-9"/>
                                  <w:sz w:val="13"/>
                                </w:rPr>
                              </w:pPr>
                              <w:r>
                                <w:rPr>
                                  <w:w w:val="95"/>
                                  <w:sz w:val="13"/>
                                </w:rPr>
                                <w:t>32</w:t>
                              </w:r>
                              <w:r>
                                <w:rPr>
                                  <w:spacing w:val="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5"/>
                                  <w:position w:val="-9"/>
                                  <w:sz w:val="13"/>
                                  <w:shd w:fill="8E8E8E" w:color="auto" w:val="clear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1879575" y="292740"/>
                            <a:ext cx="403860" cy="553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296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3"/>
                                </w:rPr>
                                <w:t>140</w:t>
                              </w:r>
                            </w:p>
                            <w:p>
                              <w:pPr>
                                <w:spacing w:before="48"/>
                                <w:ind w:left="0" w:right="207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spacing w:val="61"/>
                                  <w:w w:val="150"/>
                                  <w:sz w:val="13"/>
                                  <w:shd w:fill="B0C7D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5"/>
                                  <w:sz w:val="13"/>
                                  <w:shd w:fill="B0C7DC" w:color="auto" w:val="clear"/>
                                </w:rPr>
                                <w:t>41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3"/>
                                  <w:shd w:fill="B0C7DC" w:color="auto" w:val="clear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135" w:lineRule="exact" w:before="38"/>
                                <w:ind w:left="0" w:right="231" w:firstLine="0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3"/>
                                </w:rPr>
                                <w:t>38</w:t>
                              </w:r>
                            </w:p>
                            <w:p>
                              <w:pPr>
                                <w:spacing w:line="105" w:lineRule="exact" w:before="0"/>
                                <w:ind w:left="66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95"/>
                                  <w:sz w:val="13"/>
                                  <w:shd w:fill="5B92C9" w:color="auto" w:val="clear"/>
                                </w:rPr>
                                <w:t>7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3"/>
                                  <w:shd w:fill="5B92C9" w:color="auto" w:val="clear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218" w:lineRule="exact" w:before="0"/>
                                <w:ind w:left="66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w w:val="95"/>
                                  <w:sz w:val="13"/>
                                  <w:shd w:fill="8E8E8E" w:color="auto" w:val="clear"/>
                                </w:rPr>
                                <w:t>4</w:t>
                              </w:r>
                              <w:r>
                                <w:rPr>
                                  <w:color w:val="000000"/>
                                  <w:spacing w:val="-21"/>
                                  <w:w w:val="95"/>
                                  <w:sz w:val="13"/>
                                  <w:shd w:fill="8E8E8E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2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95"/>
                                  <w:position w:val="9"/>
                                  <w:sz w:val="13"/>
                                </w:rPr>
                                <w:t>32</w:t>
                              </w:r>
                              <w:r>
                                <w:rPr>
                                  <w:color w:val="000000"/>
                                  <w:spacing w:val="8"/>
                                  <w:position w:val="9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95"/>
                                  <w:sz w:val="13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365969" y="143370"/>
                            <a:ext cx="283210" cy="2336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91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3"/>
                                </w:rPr>
                                <w:t>187</w:t>
                              </w:r>
                            </w:p>
                            <w:p>
                              <w:pPr>
                                <w:spacing w:before="42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000000"/>
                                  <w:spacing w:val="62"/>
                                  <w:w w:val="150"/>
                                  <w:sz w:val="13"/>
                                  <w:shd w:fill="B0C7D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7"/>
                                  <w:w w:val="95"/>
                                  <w:sz w:val="13"/>
                                  <w:shd w:fill="B0C7DC" w:color="auto" w:val="clear"/>
                                </w:rPr>
                                <w:t>38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3"/>
                                  <w:shd w:fill="B0C7DC" w:color="auto" w:val="clear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382719" y="386492"/>
                            <a:ext cx="23431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position w:val="-9"/>
                                  <w:sz w:val="13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3"/>
                                </w:rPr>
                                <w:t>35</w:t>
                              </w:r>
                              <w:r>
                                <w:rPr>
                                  <w:color w:val="FFFFFF"/>
                                  <w:spacing w:val="4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95"/>
                                  <w:position w:val="-9"/>
                                  <w:sz w:val="13"/>
                                  <w:shd w:fill="5B92C9" w:color="auto" w:val="clear"/>
                                </w:rPr>
                                <w:t>6</w:t>
                              </w:r>
                              <w:r>
                                <w:rPr>
                                  <w:color w:val="FFFFFF"/>
                                  <w:spacing w:val="40"/>
                                  <w:position w:val="-9"/>
                                  <w:sz w:val="13"/>
                                  <w:shd w:fill="5B92C9" w:color="auto" w:val="clear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382719" y="517875"/>
                            <a:ext cx="184150" cy="349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3"/>
                                </w:rPr>
                                <w:t>36</w:t>
                              </w:r>
                            </w:p>
                            <w:p>
                              <w:pPr>
                                <w:spacing w:before="46"/>
                                <w:ind w:left="105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3"/>
                                </w:rPr>
                                <w:t>46</w:t>
                              </w:r>
                            </w:p>
                            <w:p>
                              <w:pPr>
                                <w:spacing w:before="21"/>
                                <w:ind w:left="105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w w:val="95"/>
                                  <w:sz w:val="13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316540" y="912995"/>
                            <a:ext cx="2738120" cy="591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491" w:firstLine="0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Β’</w:t>
                              </w:r>
                              <w:r>
                                <w:rPr>
                                  <w:spacing w:val="-9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τρίμηνο</w:t>
                              </w:r>
                              <w:r>
                                <w:rPr>
                                  <w:spacing w:val="59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Γ’</w:t>
                              </w:r>
                              <w:r>
                                <w:rPr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τρίμηνο</w:t>
                              </w:r>
                              <w:r>
                                <w:rPr>
                                  <w:spacing w:val="5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Δ’</w:t>
                              </w:r>
                              <w:r>
                                <w:rPr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τρίμηνο</w:t>
                              </w:r>
                              <w:r>
                                <w:rPr>
                                  <w:spacing w:val="4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Α’</w:t>
                              </w:r>
                              <w:r>
                                <w:rPr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τρίμηνο</w:t>
                              </w:r>
                              <w:r>
                                <w:rPr>
                                  <w:spacing w:val="49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Β’</w:t>
                              </w:r>
                              <w:r>
                                <w:rPr>
                                  <w:spacing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τρίμηνο</w:t>
                              </w:r>
                            </w:p>
                            <w:p>
                              <w:pPr>
                                <w:tabs>
                                  <w:tab w:pos="767" w:val="left" w:leader="none"/>
                                  <w:tab w:pos="1533" w:val="left" w:leader="none"/>
                                  <w:tab w:pos="2300" w:val="left" w:leader="none"/>
                                  <w:tab w:pos="3067" w:val="left" w:leader="none"/>
                                </w:tabs>
                                <w:spacing w:before="6"/>
                                <w:ind w:left="0" w:right="496" w:firstLine="0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w w:val="95"/>
                                  <w:sz w:val="13"/>
                                </w:rPr>
                                <w:t>2025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95"/>
                                  <w:sz w:val="13"/>
                                </w:rPr>
                                <w:t>2025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95"/>
                                  <w:sz w:val="13"/>
                                </w:rPr>
                                <w:t>2025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95"/>
                                  <w:sz w:val="13"/>
                                </w:rPr>
                                <w:t>2026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95"/>
                                  <w:sz w:val="13"/>
                                </w:rPr>
                                <w:t>2026</w:t>
                              </w:r>
                            </w:p>
                            <w:p>
                              <w:pPr>
                                <w:tabs>
                                  <w:tab w:pos="2445" w:val="left" w:leader="none"/>
                                </w:tabs>
                                <w:spacing w:line="190" w:lineRule="atLeast" w:before="19"/>
                                <w:ind w:left="0" w:right="18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Χορηγήσεις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Πιστωτικές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Κάρτες</w:t>
                              </w:r>
                              <w:r>
                                <w:rPr>
                                  <w:spacing w:val="-9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&amp;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Πληρωμές</w:t>
                              </w:r>
                              <w:r>
                                <w:rPr>
                                  <w:sz w:val="12"/>
                                </w:rPr>
                                <w:t> Εργασίες Διαχείρισης Χαρτοφυλακίου</w:t>
                                <w:tab/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Διαχείριση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επενδυτικών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ακινήτων</w:t>
                              </w:r>
                              <w:r>
                                <w:rPr>
                                  <w:sz w:val="12"/>
                                </w:rPr>
                                <w:t> Εργασίες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Bancassurance</w:t>
                                <w:tab/>
                                <w:t>Επενδυτική</w:t>
                              </w:r>
                              <w:r>
                                <w:rPr>
                                  <w:spacing w:val="-1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Τραπεζική</w:t>
                              </w:r>
                              <w:r>
                                <w:rPr>
                                  <w:spacing w:val="-1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&amp;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Λοιπά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3.190002pt;margin-top:18.192059pt;width:245.35pt;height:126.25pt;mso-position-horizontal-relative:page;mso-position-vertical-relative:paragraph;z-index:-15725568;mso-wrap-distance-left:0;mso-wrap-distance-right:0" id="docshapegroup83" coordorigin="6064,364" coordsize="4907,2525">
                <v:shape style="position:absolute;left:6063;top:363;width:4907;height:2525" id="docshape84" coordorigin="6064,364" coordsize="4907,2525" path="m6073,2879l6064,2879,6064,2889,6073,2889,6073,2879xm6073,364l6064,364,6064,373,6064,2879,6073,2879,6073,373,6073,364xm10970,2879l10961,2879,6073,2879,6073,2889,10961,2889,10970,2889,10970,2879xm10970,364l10961,364,6083,364,6073,364,6073,373,6083,373,10961,373,10961,2879,10970,2879,10970,373,10970,364xe" filled="true" fillcolor="#4f81bc" stroked="false">
                  <v:path arrowok="t"/>
                  <v:fill type="solid"/>
                </v:shape>
                <v:shape style="position:absolute;left:6723;top:1580;width:3493;height:130" id="docshape85" coordorigin="6723,1581" coordsize="3493,130" path="m7149,1638l6723,1638,6723,1710,7149,1710,7149,1638xm7543,1639l7491,1639,7491,1710,7543,1710,7543,1639xm7916,1639l7652,1639,7652,1710,7916,1710,7916,1639xm8682,1642l8256,1642,8256,1710,8682,1710,8682,1642xm9450,1619l9024,1619,9024,1710,9450,1710,9450,1619xm10216,1581l9790,1581,9790,1710,10216,1710,10216,1581xe" filled="true" fillcolor="#94b8df" stroked="false">
                  <v:path arrowok="t"/>
                  <v:fill type="solid"/>
                </v:shape>
                <v:shape style="position:absolute;left:6723;top:1352;width:3493;height:290" id="docshape86" coordorigin="6723,1352" coordsize="3493,290" path="m7149,1570l6723,1570,6723,1638,7149,1638,7149,1570xm7916,1630l7491,1630,7491,1639,7916,1639,7916,1630xm8682,1594l8256,1594,8256,1642,8682,1642,8682,1594xm9450,1601l9024,1601,9024,1619,9450,1619,9450,1601xm10216,1352l9790,1352,9790,1581,10216,1581,10216,1352xe" filled="true" fillcolor="#8e8e8e" stroked="false">
                  <v:path arrowok="t"/>
                  <v:fill type="solid"/>
                </v:shape>
                <v:shape style="position:absolute;left:6723;top:1174;width:3493;height:456" id="docshape87" coordorigin="6723,1174" coordsize="3493,456" path="m7149,1359l6723,1359,6723,1570,7149,1570,7149,1359xm7916,1451l7491,1451,7491,1630,7916,1630,7916,1451xm8682,1436l8256,1436,8256,1594,8682,1594,8682,1436xm9450,1439l9024,1439,9024,1601,9450,1601,9450,1439xm10216,1174l9790,1174,9790,1352,10216,1352,10216,1174xe" filled="true" fillcolor="#a8a4a4" stroked="false">
                  <v:path arrowok="t"/>
                  <v:fill type="solid"/>
                </v:shape>
                <v:shape style="position:absolute;left:6723;top:1145;width:3493;height:306" id="docshape88" coordorigin="6723,1145" coordsize="3493,306" path="m7149,1334l6723,1334,6723,1359,7149,1359,7149,1334xm7916,1427l7491,1427,7491,1451,7916,1451,7916,1427xm8682,1421l8256,1421,8256,1436,8682,1436,8682,1421xm9450,1405l9024,1405,9024,1439,9450,1439,9450,1405xm10216,1145l9790,1145,9790,1174,10216,1174,10216,1145xe" filled="true" fillcolor="#5b92c9" stroked="false">
                  <v:path arrowok="t"/>
                  <v:fill type="solid"/>
                </v:shape>
                <v:shape style="position:absolute;left:6723;top:967;width:3493;height:460" id="docshape89" coordorigin="6723,967" coordsize="3493,460" path="m7149,1193l6723,1193,6723,1334,7149,1334,7149,1193xm7916,1266l7491,1266,7491,1427,7916,1427,7916,1266xm8682,1237l8256,1237,8256,1421,8682,1421,8682,1237xm9450,1215l9024,1215,9024,1405,9450,1405,9450,1215xm10216,967l9790,967,9790,1145,10216,1145,10216,967xe" filled="true" fillcolor="#2c5c9d" stroked="false">
                  <v:path arrowok="t"/>
                  <v:fill type="solid"/>
                </v:shape>
                <v:shape style="position:absolute;left:6552;top:1709;width:3834;height:2" id="docshape90" coordorigin="6553,1710" coordsize="3834,0" path="m6553,1710l6739,1710m6921,1710l7543,1710m7652,1710l8272,1710m8454,1710l10386,1710e" filled="false" stroked="true" strokeweight=".42493pt" strokecolor="#000000">
                  <v:path arrowok="t"/>
                  <v:stroke dashstyle="solid"/>
                </v:shape>
                <v:shape style="position:absolute;left:7860;top:1605;width:1606;height:68" id="docshape91" coordorigin="7860,1605" coordsize="1606,68" path="m7931,1605l7860,1673m9466,1605l9395,1665e" filled="false" stroked="true" strokeweight=".277332pt" strokecolor="#000000">
                  <v:path arrowok="t"/>
                  <v:stroke dashstyle="solid"/>
                </v:shape>
                <v:rect style="position:absolute;left:6952;top:1523;width:182;height:164" id="docshape92" filled="true" fillcolor="#8e8e8e" stroked="false">
                  <v:fill type="solid"/>
                </v:rect>
                <v:rect style="position:absolute;left:7542;top:1358;width:110;height:164" id="docshape93" filled="true" fillcolor="#5b92c9" stroked="false">
                  <v:fill type="solid"/>
                </v:rect>
                <v:rect style="position:absolute;left:6350;top:2192;width:169;height:132" id="docshape94" filled="true" fillcolor="#b0c7dc" stroked="false">
                  <v:fill type="solid"/>
                </v:rect>
                <v:rect style="position:absolute;left:6350;top:2388;width:169;height:132" id="docshape95" filled="true" fillcolor="#2c5c9d" stroked="false">
                  <v:fill type="solid"/>
                </v:rect>
                <v:rect style="position:absolute;left:6350;top:2583;width:169;height:132" id="docshape96" filled="true" fillcolor="#5b92c9" stroked="false">
                  <v:fill type="solid"/>
                </v:rect>
                <v:rect style="position:absolute;left:8795;top:2192;width:169;height:132" id="docshape97" filled="true" fillcolor="#a8a4a4" stroked="false">
                  <v:fill type="solid"/>
                </v:rect>
                <v:rect style="position:absolute;left:8795;top:2388;width:169;height:132" id="docshape98" filled="true" fillcolor="#8e8e8e" stroked="false">
                  <v:fill type="solid"/>
                </v:rect>
                <v:rect style="position:absolute;left:8795;top:2583;width:169;height:132" id="docshape99" filled="true" fillcolor="#94b8df" stroked="false">
                  <v:fill type="solid"/>
                </v:rect>
                <v:shape style="position:absolute;left:6189;top:441;width:448;height:169" type="#_x0000_t202" id="docshape100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8E8E8E"/>
                            <w:sz w:val="13"/>
                          </w:rPr>
                          <w:t>€</w:t>
                        </w:r>
                        <w:r>
                          <w:rPr>
                            <w:color w:val="8E8E8E"/>
                            <w:spacing w:val="-5"/>
                            <w:sz w:val="13"/>
                          </w:rPr>
                          <w:t> </w:t>
                        </w:r>
                        <w:r>
                          <w:rPr>
                            <w:color w:val="8E8E8E"/>
                            <w:spacing w:val="-6"/>
                            <w:sz w:val="13"/>
                          </w:rPr>
                          <w:t>εκατ.</w:t>
                        </w:r>
                      </w:p>
                    </w:txbxContent>
                  </v:textbox>
                  <w10:wrap type="none"/>
                </v:shape>
                <v:shape style="position:absolute;left:6723;top:846;width:446;height:353" type="#_x0000_t202" id="docshape101" filled="false" stroked="false">
                  <v:textbox inset="0,0,0,0">
                    <w:txbxContent>
                      <w:p>
                        <w:pPr>
                          <w:spacing w:before="3"/>
                          <w:ind w:left="9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95"/>
                            <w:sz w:val="13"/>
                          </w:rPr>
                          <w:t>135</w:t>
                        </w:r>
                      </w:p>
                      <w:p>
                        <w:pPr>
                          <w:spacing w:before="27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000000"/>
                            <w:spacing w:val="61"/>
                            <w:w w:val="150"/>
                            <w:sz w:val="13"/>
                            <w:shd w:fill="B0C7DC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w w:val="95"/>
                            <w:sz w:val="13"/>
                            <w:shd w:fill="B0C7DC" w:color="auto" w:val="clear"/>
                          </w:rPr>
                          <w:t>32</w:t>
                        </w:r>
                        <w:r>
                          <w:rPr>
                            <w:color w:val="000000"/>
                            <w:spacing w:val="40"/>
                            <w:sz w:val="13"/>
                            <w:shd w:fill="B0C7DC" w:color="auto" w:val="clear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6747;top:1379;width:398;height:380" type="#_x0000_t202" id="docshape102" filled="false" stroked="false">
                  <v:textbox inset="0,0,0,0">
                    <w:txbxContent>
                      <w:p>
                        <w:pPr>
                          <w:spacing w:line="150" w:lineRule="exact" w:before="4"/>
                          <w:ind w:left="1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95"/>
                            <w:sz w:val="13"/>
                          </w:rPr>
                          <w:t>42</w:t>
                        </w:r>
                      </w:p>
                      <w:p>
                        <w:pPr>
                          <w:spacing w:line="223" w:lineRule="auto"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000000"/>
                            <w:w w:val="95"/>
                            <w:position w:val="-6"/>
                            <w:sz w:val="13"/>
                            <w:shd w:fill="94B8DF" w:color="auto" w:val="clear"/>
                          </w:rPr>
                          <w:t>14</w:t>
                        </w:r>
                        <w:r>
                          <w:rPr>
                            <w:color w:val="000000"/>
                            <w:spacing w:val="-2"/>
                            <w:position w:val="-6"/>
                            <w:sz w:val="13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w w:val="95"/>
                            <w:sz w:val="13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v:shape style="position:absolute;left:6748;top:1180;width:370;height:252" type="#_x0000_t202" id="docshape103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position w:val="-7"/>
                            <w:sz w:val="13"/>
                          </w:rPr>
                        </w:pPr>
                        <w:r>
                          <w:rPr>
                            <w:color w:val="FFFFFF"/>
                            <w:w w:val="95"/>
                            <w:sz w:val="13"/>
                          </w:rPr>
                          <w:t>28</w:t>
                        </w:r>
                        <w:r>
                          <w:rPr>
                            <w:color w:val="FFFFFF"/>
                            <w:spacing w:val="47"/>
                            <w:sz w:val="13"/>
                          </w:rPr>
                          <w:t> </w:t>
                        </w:r>
                        <w:r>
                          <w:rPr>
                            <w:color w:val="FFFFFF"/>
                            <w:spacing w:val="-12"/>
                            <w:w w:val="95"/>
                            <w:position w:val="-7"/>
                            <w:sz w:val="13"/>
                            <w:shd w:fill="5B92C9" w:color="auto" w:val="clear"/>
                          </w:rPr>
                          <w:t>5</w:t>
                        </w:r>
                        <w:r>
                          <w:rPr>
                            <w:color w:val="FFFFFF"/>
                            <w:spacing w:val="40"/>
                            <w:position w:val="-7"/>
                            <w:sz w:val="13"/>
                            <w:shd w:fill="5B92C9" w:color="auto" w:val="clear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7490;top:915;width:446;height:517" type="#_x0000_t202" id="docshape104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107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95"/>
                            <w:sz w:val="13"/>
                          </w:rPr>
                          <w:t>122</w:t>
                        </w:r>
                      </w:p>
                      <w:p>
                        <w:pPr>
                          <w:spacing w:before="27"/>
                          <w:ind w:left="0" w:right="18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00000"/>
                            <w:spacing w:val="61"/>
                            <w:w w:val="150"/>
                            <w:sz w:val="13"/>
                            <w:shd w:fill="B0C7DC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w w:val="95"/>
                            <w:sz w:val="13"/>
                            <w:shd w:fill="B0C7DC" w:color="auto" w:val="clear"/>
                          </w:rPr>
                          <w:t>33</w:t>
                        </w:r>
                        <w:r>
                          <w:rPr>
                            <w:color w:val="000000"/>
                            <w:spacing w:val="40"/>
                            <w:sz w:val="13"/>
                            <w:shd w:fill="B0C7DC" w:color="auto" w:val="clear"/>
                          </w:rPr>
                          <w:t> </w:t>
                        </w:r>
                      </w:p>
                      <w:p>
                        <w:pPr>
                          <w:spacing w:before="4"/>
                          <w:ind w:left="0" w:right="41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95"/>
                            <w:sz w:val="13"/>
                          </w:rPr>
                          <w:t>32</w:t>
                        </w:r>
                      </w:p>
                    </w:txbxContent>
                  </v:textbox>
                  <w10:wrap type="none"/>
                </v:shape>
                <v:shape style="position:absolute;left:8256;top:843;width:446;height:375" type="#_x0000_t202" id="docshape105" filled="false" stroked="false">
                  <v:textbox inset="0,0,0,0">
                    <w:txbxContent>
                      <w:p>
                        <w:pPr>
                          <w:spacing w:before="3"/>
                          <w:ind w:left="91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95"/>
                            <w:sz w:val="13"/>
                          </w:rPr>
                          <w:t>136</w:t>
                        </w:r>
                      </w:p>
                      <w:p>
                        <w:pPr>
                          <w:spacing w:before="49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000000"/>
                            <w:spacing w:val="62"/>
                            <w:w w:val="150"/>
                            <w:sz w:val="13"/>
                            <w:shd w:fill="B0C7DC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7"/>
                            <w:w w:val="95"/>
                            <w:sz w:val="13"/>
                            <w:shd w:fill="B0C7DC" w:color="auto" w:val="clear"/>
                          </w:rPr>
                          <w:t>41</w:t>
                        </w:r>
                        <w:r>
                          <w:rPr>
                            <w:color w:val="000000"/>
                            <w:spacing w:val="40"/>
                            <w:sz w:val="13"/>
                            <w:shd w:fill="B0C7DC" w:color="auto" w:val="clear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7555;top:1356;width:93;height:169" type="#_x0000_t202" id="docshape106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95"/>
                            <w:sz w:val="13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7555;top:1457;width:570;height:262" type="#_x0000_t202" id="docshape107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position w:val="-5"/>
                            <w:sz w:val="13"/>
                          </w:rPr>
                        </w:pPr>
                        <w:r>
                          <w:rPr>
                            <w:color w:val="000000"/>
                            <w:w w:val="95"/>
                            <w:position w:val="-8"/>
                            <w:sz w:val="13"/>
                            <w:shd w:fill="8E8E8E" w:color="auto" w:val="clear"/>
                          </w:rPr>
                          <w:t>2</w:t>
                        </w:r>
                        <w:r>
                          <w:rPr>
                            <w:color w:val="000000"/>
                            <w:spacing w:val="-21"/>
                            <w:w w:val="95"/>
                            <w:position w:val="-8"/>
                            <w:sz w:val="13"/>
                            <w:shd w:fill="8E8E8E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23"/>
                            <w:position w:val="-8"/>
                            <w:sz w:val="13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sz w:val="13"/>
                          </w:rPr>
                          <w:t>36</w:t>
                        </w:r>
                        <w:r>
                          <w:rPr>
                            <w:color w:val="000000"/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w w:val="95"/>
                            <w:position w:val="-5"/>
                            <w:sz w:val="13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v:shape style="position:absolute;left:8282;top:1243;width:370;height:271" type="#_x0000_t202" id="docshape108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position w:val="-9"/>
                            <w:sz w:val="13"/>
                          </w:rPr>
                        </w:pPr>
                        <w:r>
                          <w:rPr>
                            <w:color w:val="FFFFFF"/>
                            <w:w w:val="95"/>
                            <w:sz w:val="13"/>
                          </w:rPr>
                          <w:t>37</w:t>
                        </w:r>
                        <w:r>
                          <w:rPr>
                            <w:color w:val="FFFFFF"/>
                            <w:spacing w:val="47"/>
                            <w:sz w:val="13"/>
                          </w:rPr>
                          <w:t> </w:t>
                        </w:r>
                        <w:r>
                          <w:rPr>
                            <w:color w:val="FFFFFF"/>
                            <w:spacing w:val="-12"/>
                            <w:w w:val="95"/>
                            <w:position w:val="-9"/>
                            <w:sz w:val="13"/>
                            <w:shd w:fill="5B92C9" w:color="auto" w:val="clear"/>
                          </w:rPr>
                          <w:t>3</w:t>
                        </w:r>
                        <w:r>
                          <w:rPr>
                            <w:color w:val="FFFFFF"/>
                            <w:spacing w:val="40"/>
                            <w:position w:val="-9"/>
                            <w:sz w:val="13"/>
                            <w:shd w:fill="5B92C9" w:color="auto" w:val="clear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8281;top:1593;width:185;height:169" type="#_x0000_t202" id="docshape109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95"/>
                            <w:sz w:val="13"/>
                            <w:shd w:fill="94B8DF" w:color="auto" w:val="clear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v:shape style="position:absolute;left:8282;top:1430;width:396;height:274" type="#_x0000_t202" id="docshape110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position w:val="-9"/>
                            <w:sz w:val="13"/>
                          </w:rPr>
                        </w:pPr>
                        <w:r>
                          <w:rPr>
                            <w:w w:val="95"/>
                            <w:sz w:val="13"/>
                          </w:rPr>
                          <w:t>32</w:t>
                        </w:r>
                        <w:r>
                          <w:rPr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w w:val="95"/>
                            <w:position w:val="-9"/>
                            <w:sz w:val="13"/>
                            <w:shd w:fill="8E8E8E" w:color="auto" w:val="clear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9023;top:824;width:636;height:871" type="#_x0000_t202" id="docshape111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296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95"/>
                            <w:sz w:val="13"/>
                          </w:rPr>
                          <w:t>140</w:t>
                        </w:r>
                      </w:p>
                      <w:p>
                        <w:pPr>
                          <w:spacing w:before="48"/>
                          <w:ind w:left="0" w:right="207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00000"/>
                            <w:spacing w:val="61"/>
                            <w:w w:val="150"/>
                            <w:sz w:val="13"/>
                            <w:shd w:fill="B0C7DC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w w:val="95"/>
                            <w:sz w:val="13"/>
                            <w:shd w:fill="B0C7DC" w:color="auto" w:val="clear"/>
                          </w:rPr>
                          <w:t>41</w:t>
                        </w:r>
                        <w:r>
                          <w:rPr>
                            <w:color w:val="000000"/>
                            <w:spacing w:val="40"/>
                            <w:sz w:val="13"/>
                            <w:shd w:fill="B0C7DC" w:color="auto" w:val="clear"/>
                          </w:rPr>
                          <w:t> </w:t>
                        </w:r>
                      </w:p>
                      <w:p>
                        <w:pPr>
                          <w:spacing w:line="135" w:lineRule="exact" w:before="38"/>
                          <w:ind w:left="0" w:right="231" w:firstLine="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95"/>
                            <w:sz w:val="13"/>
                          </w:rPr>
                          <w:t>38</w:t>
                        </w:r>
                      </w:p>
                      <w:p>
                        <w:pPr>
                          <w:spacing w:line="105" w:lineRule="exact" w:before="0"/>
                          <w:ind w:left="6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95"/>
                            <w:sz w:val="13"/>
                            <w:shd w:fill="5B92C9" w:color="auto" w:val="clear"/>
                          </w:rPr>
                          <w:t>7</w:t>
                        </w:r>
                        <w:r>
                          <w:rPr>
                            <w:color w:val="FFFFFF"/>
                            <w:spacing w:val="40"/>
                            <w:sz w:val="13"/>
                            <w:shd w:fill="5B92C9" w:color="auto" w:val="clear"/>
                          </w:rPr>
                          <w:t> </w:t>
                        </w:r>
                      </w:p>
                      <w:p>
                        <w:pPr>
                          <w:spacing w:line="218" w:lineRule="exact" w:before="0"/>
                          <w:ind w:left="66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000000"/>
                            <w:w w:val="95"/>
                            <w:sz w:val="13"/>
                            <w:shd w:fill="8E8E8E" w:color="auto" w:val="clear"/>
                          </w:rPr>
                          <w:t>4</w:t>
                        </w:r>
                        <w:r>
                          <w:rPr>
                            <w:color w:val="000000"/>
                            <w:spacing w:val="-21"/>
                            <w:w w:val="95"/>
                            <w:sz w:val="13"/>
                            <w:shd w:fill="8E8E8E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23"/>
                            <w:sz w:val="13"/>
                          </w:rPr>
                          <w:t> </w:t>
                        </w:r>
                        <w:r>
                          <w:rPr>
                            <w:color w:val="000000"/>
                            <w:w w:val="95"/>
                            <w:position w:val="9"/>
                            <w:sz w:val="13"/>
                          </w:rPr>
                          <w:t>32</w:t>
                        </w:r>
                        <w:r>
                          <w:rPr>
                            <w:color w:val="000000"/>
                            <w:spacing w:val="8"/>
                            <w:position w:val="9"/>
                            <w:sz w:val="13"/>
                          </w:rPr>
                          <w:t> </w:t>
                        </w:r>
                        <w:r>
                          <w:rPr>
                            <w:color w:val="000000"/>
                            <w:spacing w:val="-5"/>
                            <w:w w:val="95"/>
                            <w:sz w:val="13"/>
                          </w:rPr>
                          <w:t>18</w:t>
                        </w:r>
                      </w:p>
                    </w:txbxContent>
                  </v:textbox>
                  <w10:wrap type="none"/>
                </v:shape>
                <v:shape style="position:absolute;left:9789;top:589;width:446;height:368" type="#_x0000_t202" id="docshape112" filled="false" stroked="false">
                  <v:textbox inset="0,0,0,0">
                    <w:txbxContent>
                      <w:p>
                        <w:pPr>
                          <w:spacing w:before="3"/>
                          <w:ind w:left="91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95"/>
                            <w:sz w:val="13"/>
                          </w:rPr>
                          <w:t>187</w:t>
                        </w:r>
                      </w:p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color w:val="000000"/>
                            <w:spacing w:val="62"/>
                            <w:w w:val="150"/>
                            <w:sz w:val="13"/>
                            <w:shd w:fill="B0C7DC" w:color="auto" w:val="clear"/>
                          </w:rPr>
                          <w:t> </w:t>
                        </w:r>
                        <w:r>
                          <w:rPr>
                            <w:color w:val="000000"/>
                            <w:spacing w:val="-7"/>
                            <w:w w:val="95"/>
                            <w:sz w:val="13"/>
                            <w:shd w:fill="B0C7DC" w:color="auto" w:val="clear"/>
                          </w:rPr>
                          <w:t>38</w:t>
                        </w:r>
                        <w:r>
                          <w:rPr>
                            <w:color w:val="000000"/>
                            <w:spacing w:val="40"/>
                            <w:sz w:val="13"/>
                            <w:shd w:fill="B0C7DC" w:color="auto" w:val="clear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9816;top:972;width:369;height:272" type="#_x0000_t202" id="docshape113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position w:val="-9"/>
                            <w:sz w:val="13"/>
                          </w:rPr>
                        </w:pPr>
                        <w:r>
                          <w:rPr>
                            <w:color w:val="FFFFFF"/>
                            <w:w w:val="95"/>
                            <w:sz w:val="13"/>
                          </w:rPr>
                          <w:t>35</w:t>
                        </w:r>
                        <w:r>
                          <w:rPr>
                            <w:color w:val="FFFFFF"/>
                            <w:spacing w:val="47"/>
                            <w:sz w:val="13"/>
                          </w:rPr>
                          <w:t> </w:t>
                        </w:r>
                        <w:r>
                          <w:rPr>
                            <w:color w:val="FFFFFF"/>
                            <w:spacing w:val="-12"/>
                            <w:w w:val="95"/>
                            <w:position w:val="-9"/>
                            <w:sz w:val="13"/>
                            <w:shd w:fill="5B92C9" w:color="auto" w:val="clear"/>
                          </w:rPr>
                          <w:t>6</w:t>
                        </w:r>
                        <w:r>
                          <w:rPr>
                            <w:color w:val="FFFFFF"/>
                            <w:spacing w:val="40"/>
                            <w:position w:val="-9"/>
                            <w:sz w:val="13"/>
                            <w:shd w:fill="5B92C9" w:color="auto" w:val="clear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9816;top:1179;width:290;height:551" type="#_x0000_t202" id="docshape114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95"/>
                            <w:sz w:val="13"/>
                          </w:rPr>
                          <w:t>36</w:t>
                        </w:r>
                      </w:p>
                      <w:p>
                        <w:pPr>
                          <w:spacing w:before="46"/>
                          <w:ind w:left="105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95"/>
                            <w:sz w:val="13"/>
                          </w:rPr>
                          <w:t>46</w:t>
                        </w:r>
                      </w:p>
                      <w:p>
                        <w:pPr>
                          <w:spacing w:before="21"/>
                          <w:ind w:left="105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w w:val="95"/>
                            <w:sz w:val="13"/>
                          </w:rPr>
                          <w:t>26</w:t>
                        </w:r>
                      </w:p>
                    </w:txbxContent>
                  </v:textbox>
                  <w10:wrap type="none"/>
                </v:shape>
                <v:shape style="position:absolute;left:6562;top:1801;width:4312;height:932" type="#_x0000_t202" id="docshape115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491" w:firstLine="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Β’</w:t>
                        </w:r>
                        <w:r>
                          <w:rPr>
                            <w:spacing w:val="-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τρίμηνο</w:t>
                        </w:r>
                        <w:r>
                          <w:rPr>
                            <w:spacing w:val="5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Γ’</w:t>
                        </w:r>
                        <w:r>
                          <w:rPr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τρίμηνο</w:t>
                        </w:r>
                        <w:r>
                          <w:rPr>
                            <w:spacing w:val="5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Δ’</w:t>
                        </w:r>
                        <w:r>
                          <w:rPr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τρίμηνο</w:t>
                        </w:r>
                        <w:r>
                          <w:rPr>
                            <w:spacing w:val="4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Α’</w:t>
                        </w:r>
                        <w:r>
                          <w:rPr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τρίμηνο</w:t>
                        </w:r>
                        <w:r>
                          <w:rPr>
                            <w:spacing w:val="49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Β’</w:t>
                        </w:r>
                        <w:r>
                          <w:rPr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τρίμηνο</w:t>
                        </w:r>
                      </w:p>
                      <w:p>
                        <w:pPr>
                          <w:tabs>
                            <w:tab w:pos="767" w:val="left" w:leader="none"/>
                            <w:tab w:pos="1533" w:val="left" w:leader="none"/>
                            <w:tab w:pos="2300" w:val="left" w:leader="none"/>
                            <w:tab w:pos="3067" w:val="left" w:leader="none"/>
                          </w:tabs>
                          <w:spacing w:before="6"/>
                          <w:ind w:left="0" w:right="496" w:firstLine="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w w:val="95"/>
                            <w:sz w:val="13"/>
                          </w:rPr>
                          <w:t>2025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w w:val="95"/>
                            <w:sz w:val="13"/>
                          </w:rPr>
                          <w:t>2025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w w:val="95"/>
                            <w:sz w:val="13"/>
                          </w:rPr>
                          <w:t>2025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w w:val="95"/>
                            <w:sz w:val="13"/>
                          </w:rPr>
                          <w:t>2026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4"/>
                            <w:w w:val="95"/>
                            <w:sz w:val="13"/>
                          </w:rPr>
                          <w:t>2026</w:t>
                        </w:r>
                      </w:p>
                      <w:p>
                        <w:pPr>
                          <w:tabs>
                            <w:tab w:pos="2445" w:val="left" w:leader="none"/>
                          </w:tabs>
                          <w:spacing w:line="190" w:lineRule="atLeast" w:before="19"/>
                          <w:ind w:left="0" w:right="18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Χορηγήσεις</w:t>
                        </w:r>
                        <w:r>
                          <w:rPr>
                            <w:sz w:val="12"/>
                          </w:rPr>
                          <w:tab/>
                        </w:r>
                        <w:r>
                          <w:rPr>
                            <w:spacing w:val="-2"/>
                            <w:sz w:val="12"/>
                          </w:rPr>
                          <w:t>Πιστωτικές</w:t>
                        </w:r>
                        <w:r>
                          <w:rPr>
                            <w:spacing w:val="-9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Κάρτες</w:t>
                        </w:r>
                        <w:r>
                          <w:rPr>
                            <w:spacing w:val="-9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&amp;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Πληρωμές</w:t>
                        </w:r>
                        <w:r>
                          <w:rPr>
                            <w:sz w:val="12"/>
                          </w:rPr>
                          <w:t> Εργασίες Διαχείρισης Χαρτοφυλακίου</w:t>
                          <w:tab/>
                        </w:r>
                        <w:r>
                          <w:rPr>
                            <w:spacing w:val="-6"/>
                            <w:sz w:val="12"/>
                          </w:rPr>
                          <w:t>Διαχείριση</w:t>
                        </w:r>
                        <w:r>
                          <w:rPr>
                            <w:spacing w:val="-11"/>
                            <w:sz w:val="12"/>
                          </w:rPr>
                          <w:t> </w:t>
                        </w:r>
                        <w:r>
                          <w:rPr>
                            <w:spacing w:val="-6"/>
                            <w:sz w:val="12"/>
                          </w:rPr>
                          <w:t>επενδυτικών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pacing w:val="-6"/>
                            <w:sz w:val="12"/>
                          </w:rPr>
                          <w:t>ακινήτων</w:t>
                        </w:r>
                        <w:r>
                          <w:rPr>
                            <w:sz w:val="12"/>
                          </w:rPr>
                          <w:t> Εργασίες</w:t>
                        </w:r>
                        <w:r>
                          <w:rPr>
                            <w:spacing w:val="-1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Bancassurance</w:t>
                          <w:tab/>
                          <w:t>Επενδυτική</w:t>
                        </w:r>
                        <w:r>
                          <w:rPr>
                            <w:spacing w:val="-11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Τραπεζική</w:t>
                        </w:r>
                        <w:r>
                          <w:rPr>
                            <w:spacing w:val="-10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&amp;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Λοιπά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pacing w:val="-2"/>
        </w:rPr>
        <w:t>Μεταβολή</w:t>
      </w:r>
      <w:r>
        <w:rPr>
          <w:spacing w:val="-8"/>
        </w:rPr>
        <w:t> </w:t>
      </w:r>
      <w:r>
        <w:rPr>
          <w:spacing w:val="-2"/>
        </w:rPr>
        <w:t>στα</w:t>
      </w:r>
      <w:r>
        <w:rPr>
          <w:spacing w:val="-8"/>
        </w:rPr>
        <w:t> </w:t>
      </w:r>
      <w:r>
        <w:rPr>
          <w:spacing w:val="-2"/>
        </w:rPr>
        <w:t>Καθαρά</w:t>
      </w:r>
      <w:r>
        <w:rPr>
          <w:spacing w:val="-9"/>
        </w:rPr>
        <w:t> </w:t>
      </w:r>
      <w:r>
        <w:rPr>
          <w:spacing w:val="-2"/>
        </w:rPr>
        <w:t>Έσοδα</w:t>
      </w:r>
      <w:r>
        <w:rPr>
          <w:spacing w:val="-8"/>
        </w:rPr>
        <w:t> </w:t>
      </w:r>
      <w:r>
        <w:rPr>
          <w:spacing w:val="-2"/>
        </w:rPr>
        <w:t>από</w:t>
      </w:r>
      <w:r>
        <w:rPr>
          <w:spacing w:val="-8"/>
        </w:rPr>
        <w:t> </w:t>
      </w:r>
      <w:r>
        <w:rPr>
          <w:spacing w:val="-2"/>
        </w:rPr>
        <w:t>Τόκους</w:t>
      </w:r>
      <w:r>
        <w:rPr/>
        <w:tab/>
      </w:r>
      <w:r>
        <w:rPr>
          <w:spacing w:val="-2"/>
        </w:rPr>
        <w:t>Μεταβολή</w:t>
      </w:r>
      <w:r>
        <w:rPr>
          <w:spacing w:val="-9"/>
        </w:rPr>
        <w:t> </w:t>
      </w:r>
      <w:r>
        <w:rPr>
          <w:spacing w:val="-2"/>
        </w:rPr>
        <w:t>στα</w:t>
      </w:r>
      <w:r>
        <w:rPr>
          <w:spacing w:val="-8"/>
        </w:rPr>
        <w:t> </w:t>
      </w:r>
      <w:r>
        <w:rPr>
          <w:spacing w:val="-2"/>
        </w:rPr>
        <w:t>Έσοδα</w:t>
      </w:r>
      <w:r>
        <w:rPr>
          <w:spacing w:val="-8"/>
        </w:rPr>
        <w:t> </w:t>
      </w:r>
      <w:r>
        <w:rPr>
          <w:spacing w:val="-2"/>
        </w:rPr>
        <w:t>από</w:t>
      </w:r>
      <w:r>
        <w:rPr>
          <w:spacing w:val="-8"/>
        </w:rPr>
        <w:t> </w:t>
      </w:r>
      <w:r>
        <w:rPr>
          <w:spacing w:val="-2"/>
        </w:rPr>
        <w:t>αμοιβές</w:t>
      </w:r>
      <w:r>
        <w:rPr>
          <w:spacing w:val="-7"/>
        </w:rPr>
        <w:t> </w:t>
      </w:r>
      <w:r>
        <w:rPr>
          <w:spacing w:val="-2"/>
        </w:rPr>
        <w:t>υπηρεσιών</w:t>
      </w:r>
    </w:p>
    <w:p>
      <w:pPr>
        <w:spacing w:line="247" w:lineRule="auto" w:before="199"/>
        <w:ind w:left="600" w:right="749" w:firstLine="0"/>
        <w:jc w:val="left"/>
        <w:rPr>
          <w:sz w:val="20"/>
        </w:rPr>
      </w:pPr>
      <w:r>
        <w:rPr>
          <w:color w:val="E2872E"/>
          <w:w w:val="90"/>
          <w:sz w:val="20"/>
        </w:rPr>
        <w:t>Καθαρά Έσοδα από Τόκους αυξημένα κατά 4,8% σε τριμηνιαία βάση, λόγω υψηλότερων αυξημένων</w:t>
      </w:r>
      <w:r>
        <w:rPr>
          <w:color w:val="E2872E"/>
          <w:spacing w:val="40"/>
          <w:sz w:val="20"/>
        </w:rPr>
        <w:t> </w:t>
      </w:r>
      <w:r>
        <w:rPr>
          <w:color w:val="E2872E"/>
          <w:spacing w:val="-4"/>
          <w:sz w:val="20"/>
        </w:rPr>
        <w:t>υπολοίπων</w:t>
      </w:r>
      <w:r>
        <w:rPr>
          <w:color w:val="E2872E"/>
          <w:spacing w:val="-16"/>
          <w:sz w:val="20"/>
        </w:rPr>
        <w:t> </w:t>
      </w:r>
      <w:r>
        <w:rPr>
          <w:color w:val="E2872E"/>
          <w:spacing w:val="-4"/>
          <w:sz w:val="20"/>
        </w:rPr>
        <w:t>δανείων</w:t>
      </w:r>
      <w:r>
        <w:rPr>
          <w:color w:val="E2872E"/>
          <w:spacing w:val="-15"/>
          <w:sz w:val="20"/>
        </w:rPr>
        <w:t> </w:t>
      </w:r>
      <w:r>
        <w:rPr>
          <w:color w:val="E2872E"/>
          <w:spacing w:val="-4"/>
          <w:sz w:val="20"/>
        </w:rPr>
        <w:t>και</w:t>
      </w:r>
      <w:r>
        <w:rPr>
          <w:color w:val="E2872E"/>
          <w:spacing w:val="-15"/>
          <w:sz w:val="20"/>
        </w:rPr>
        <w:t> </w:t>
      </w:r>
      <w:r>
        <w:rPr>
          <w:color w:val="E2872E"/>
          <w:spacing w:val="-4"/>
          <w:sz w:val="20"/>
        </w:rPr>
        <w:t>της</w:t>
      </w:r>
      <w:r>
        <w:rPr>
          <w:color w:val="E2872E"/>
          <w:spacing w:val="-14"/>
          <w:sz w:val="20"/>
        </w:rPr>
        <w:t> </w:t>
      </w:r>
      <w:r>
        <w:rPr>
          <w:color w:val="E2872E"/>
          <w:spacing w:val="-4"/>
          <w:sz w:val="20"/>
        </w:rPr>
        <w:t>συνεισφοράς</w:t>
      </w:r>
      <w:r>
        <w:rPr>
          <w:color w:val="E2872E"/>
          <w:spacing w:val="-14"/>
          <w:sz w:val="20"/>
        </w:rPr>
        <w:t> </w:t>
      </w:r>
      <w:r>
        <w:rPr>
          <w:color w:val="E2872E"/>
          <w:spacing w:val="-4"/>
          <w:sz w:val="20"/>
        </w:rPr>
        <w:t>του</w:t>
      </w:r>
      <w:r>
        <w:rPr>
          <w:color w:val="E2872E"/>
          <w:spacing w:val="-14"/>
          <w:sz w:val="20"/>
        </w:rPr>
        <w:t> </w:t>
      </w:r>
      <w:r>
        <w:rPr>
          <w:color w:val="E2872E"/>
          <w:spacing w:val="-4"/>
          <w:sz w:val="20"/>
        </w:rPr>
        <w:t>χαρτοφυλακίου</w:t>
      </w:r>
      <w:r>
        <w:rPr>
          <w:color w:val="E2872E"/>
          <w:spacing w:val="-14"/>
          <w:sz w:val="20"/>
        </w:rPr>
        <w:t> </w:t>
      </w:r>
      <w:r>
        <w:rPr>
          <w:color w:val="E2872E"/>
          <w:spacing w:val="-4"/>
          <w:sz w:val="20"/>
        </w:rPr>
        <w:t>ομολόγων</w:t>
      </w:r>
    </w:p>
    <w:p>
      <w:pPr>
        <w:pStyle w:val="BodyText"/>
        <w:spacing w:before="106"/>
        <w:ind w:left="566" w:right="749"/>
      </w:pPr>
      <w:r>
        <w:rPr>
          <w:w w:val="90"/>
        </w:rPr>
        <w:t>Το β’ τρίμηνο 2026, το </w:t>
      </w:r>
      <w:r>
        <w:rPr>
          <w:rFonts w:ascii="Tahoma" w:hAnsi="Tahoma"/>
          <w:b/>
          <w:w w:val="90"/>
        </w:rPr>
        <w:t>Καθαρό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w w:val="90"/>
        </w:rPr>
        <w:t>Έσοδο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w w:val="90"/>
        </w:rPr>
        <w:t>Τόκων</w:t>
      </w:r>
      <w:r>
        <w:rPr>
          <w:rFonts w:ascii="Tahoma" w:hAnsi="Tahoma"/>
          <w:b/>
          <w:spacing w:val="18"/>
        </w:rPr>
        <w:t> </w:t>
      </w:r>
      <w:r>
        <w:rPr>
          <w:w w:val="90"/>
        </w:rPr>
        <w:t>ανήλθε σε €436,4 εκατ. αυξημένο κατά 4,8% σε τριμηνιαία βάση. Από την </w:t>
      </w:r>
      <w:r>
        <w:rPr>
          <w:spacing w:val="-6"/>
        </w:rPr>
        <w:t>πλευρά του Ενεργητικού, το</w:t>
      </w:r>
      <w:r>
        <w:rPr>
          <w:spacing w:val="-7"/>
        </w:rPr>
        <w:t> </w:t>
      </w:r>
      <w:r>
        <w:rPr>
          <w:spacing w:val="-6"/>
        </w:rPr>
        <w:t>χαρτοφυλάκιο</w:t>
      </w:r>
      <w:r>
        <w:rPr>
          <w:spacing w:val="-7"/>
        </w:rPr>
        <w:t> </w:t>
      </w:r>
      <w:r>
        <w:rPr>
          <w:spacing w:val="-6"/>
        </w:rPr>
        <w:t>των Εξυπηρετούμενων Δανείων είχε θετική</w:t>
      </w:r>
      <w:r>
        <w:rPr>
          <w:spacing w:val="-7"/>
        </w:rPr>
        <w:t> </w:t>
      </w:r>
      <w:r>
        <w:rPr>
          <w:spacing w:val="-6"/>
        </w:rPr>
        <w:t>επίπτωση στο Καθαρό Έσοδο</w:t>
      </w:r>
    </w:p>
    <w:p>
      <w:pPr>
        <w:pStyle w:val="BodyText"/>
        <w:ind w:left="566" w:right="749"/>
      </w:pPr>
      <w:r>
        <w:rPr>
          <w:w w:val="90"/>
        </w:rPr>
        <w:t>Τόκων κατά €15,7 εκατ., ως αποτέλεσμα της αύξησης των μέσων υπολοίπων δανείων, ενώ θετική ήταν και η συνεισφορά</w:t>
      </w:r>
      <w:r>
        <w:rPr/>
        <w:t> </w:t>
      </w:r>
      <w:r>
        <w:rPr>
          <w:spacing w:val="-6"/>
        </w:rPr>
        <w:t>από</w:t>
      </w:r>
      <w:r>
        <w:rPr>
          <w:spacing w:val="-7"/>
        </w:rPr>
        <w:t> </w:t>
      </w:r>
      <w:r>
        <w:rPr>
          <w:spacing w:val="-6"/>
        </w:rPr>
        <w:t>το χαρτοφυλάκιο ΜΕΑ</w:t>
      </w:r>
      <w:r>
        <w:rPr>
          <w:spacing w:val="-7"/>
        </w:rPr>
        <w:t> </w:t>
      </w:r>
      <w:r>
        <w:rPr>
          <w:spacing w:val="-6"/>
        </w:rPr>
        <w:t>κατά €1,6 εκατ. σε</w:t>
      </w:r>
      <w:r>
        <w:rPr>
          <w:spacing w:val="-7"/>
        </w:rPr>
        <w:t> </w:t>
      </w:r>
      <w:r>
        <w:rPr>
          <w:spacing w:val="-6"/>
        </w:rPr>
        <w:t>τριμηνιαία</w:t>
      </w:r>
      <w:r>
        <w:rPr>
          <w:spacing w:val="-8"/>
        </w:rPr>
        <w:t> </w:t>
      </w:r>
      <w:r>
        <w:rPr>
          <w:spacing w:val="-6"/>
        </w:rPr>
        <w:t>βάση. Επιπλέον, η θετική συνεισφορά του</w:t>
      </w:r>
      <w:r>
        <w:rPr>
          <w:spacing w:val="-9"/>
        </w:rPr>
        <w:t> </w:t>
      </w:r>
      <w:r>
        <w:rPr>
          <w:spacing w:val="-6"/>
        </w:rPr>
        <w:t>χαρτοφυλακίου</w:t>
      </w:r>
    </w:p>
    <w:p>
      <w:pPr>
        <w:pStyle w:val="BodyText"/>
        <w:ind w:left="566" w:right="582"/>
      </w:pPr>
      <w:r>
        <w:rPr>
          <w:spacing w:val="-6"/>
        </w:rPr>
        <w:t>ομολόγων</w:t>
      </w:r>
      <w:r>
        <w:rPr>
          <w:spacing w:val="-10"/>
        </w:rPr>
        <w:t> </w:t>
      </w:r>
      <w:r>
        <w:rPr>
          <w:spacing w:val="-6"/>
        </w:rPr>
        <w:t>ανήλθε</w:t>
      </w:r>
      <w:r>
        <w:rPr>
          <w:spacing w:val="-10"/>
        </w:rPr>
        <w:t> </w:t>
      </w:r>
      <w:r>
        <w:rPr>
          <w:spacing w:val="-6"/>
        </w:rPr>
        <w:t>σε</w:t>
      </w:r>
      <w:r>
        <w:rPr>
          <w:spacing w:val="-10"/>
        </w:rPr>
        <w:t> </w:t>
      </w:r>
      <w:r>
        <w:rPr>
          <w:spacing w:val="-6"/>
        </w:rPr>
        <w:t>€10</w:t>
      </w:r>
      <w:r>
        <w:rPr>
          <w:spacing w:val="-9"/>
        </w:rPr>
        <w:t> </w:t>
      </w:r>
      <w:r>
        <w:rPr>
          <w:spacing w:val="-6"/>
        </w:rPr>
        <w:t>εκατ.</w:t>
      </w:r>
      <w:r>
        <w:rPr>
          <w:spacing w:val="-8"/>
        </w:rPr>
        <w:t> </w:t>
      </w:r>
      <w:r>
        <w:rPr>
          <w:spacing w:val="-6"/>
        </w:rPr>
        <w:t>για</w:t>
      </w:r>
      <w:r>
        <w:rPr>
          <w:spacing w:val="-9"/>
        </w:rPr>
        <w:t> </w:t>
      </w:r>
      <w:r>
        <w:rPr>
          <w:spacing w:val="-6"/>
        </w:rPr>
        <w:t>το</w:t>
      </w:r>
      <w:r>
        <w:rPr>
          <w:spacing w:val="-11"/>
        </w:rPr>
        <w:t> </w:t>
      </w:r>
      <w:r>
        <w:rPr>
          <w:spacing w:val="-6"/>
        </w:rPr>
        <w:t>τρίμηνο</w:t>
      </w:r>
      <w:r>
        <w:rPr>
          <w:spacing w:val="-8"/>
        </w:rPr>
        <w:t> </w:t>
      </w:r>
      <w:r>
        <w:rPr>
          <w:spacing w:val="-6"/>
        </w:rPr>
        <w:t>λόγω</w:t>
      </w:r>
      <w:r>
        <w:rPr>
          <w:spacing w:val="-9"/>
        </w:rPr>
        <w:t> </w:t>
      </w:r>
      <w:r>
        <w:rPr>
          <w:spacing w:val="-6"/>
        </w:rPr>
        <w:t>των</w:t>
      </w:r>
      <w:r>
        <w:rPr>
          <w:spacing w:val="-12"/>
        </w:rPr>
        <w:t> </w:t>
      </w:r>
      <w:r>
        <w:rPr>
          <w:spacing w:val="-6"/>
        </w:rPr>
        <w:t>υψηλότερων</w:t>
      </w:r>
      <w:r>
        <w:rPr>
          <w:spacing w:val="-10"/>
        </w:rPr>
        <w:t> </w:t>
      </w:r>
      <w:r>
        <w:rPr>
          <w:spacing w:val="-6"/>
        </w:rPr>
        <w:t>υπολοίπων</w:t>
      </w:r>
      <w:r>
        <w:rPr>
          <w:spacing w:val="-10"/>
        </w:rPr>
        <w:t> </w:t>
      </w:r>
      <w:r>
        <w:rPr>
          <w:spacing w:val="-6"/>
        </w:rPr>
        <w:t>και</w:t>
      </w:r>
      <w:r>
        <w:rPr>
          <w:spacing w:val="-9"/>
        </w:rPr>
        <w:t> </w:t>
      </w:r>
      <w:r>
        <w:rPr>
          <w:spacing w:val="-6"/>
        </w:rPr>
        <w:t>αποδόσεων.</w:t>
      </w:r>
      <w:r>
        <w:rPr>
          <w:spacing w:val="-9"/>
        </w:rPr>
        <w:t> </w:t>
      </w:r>
      <w:r>
        <w:rPr>
          <w:spacing w:val="-6"/>
        </w:rPr>
        <w:t>Από</w:t>
      </w:r>
      <w:r>
        <w:rPr>
          <w:spacing w:val="-9"/>
        </w:rPr>
        <w:t> </w:t>
      </w:r>
      <w:r>
        <w:rPr>
          <w:spacing w:val="-6"/>
        </w:rPr>
        <w:t>την</w:t>
      </w:r>
      <w:r>
        <w:rPr>
          <w:spacing w:val="-10"/>
        </w:rPr>
        <w:t> </w:t>
      </w:r>
      <w:r>
        <w:rPr>
          <w:spacing w:val="-6"/>
        </w:rPr>
        <w:t>πλευρά</w:t>
      </w:r>
      <w:r>
        <w:rPr>
          <w:spacing w:val="-11"/>
        </w:rPr>
        <w:t> </w:t>
      </w:r>
      <w:r>
        <w:rPr>
          <w:spacing w:val="-6"/>
        </w:rPr>
        <w:t>του παθητικού,</w:t>
      </w:r>
      <w:r>
        <w:rPr>
          <w:spacing w:val="-14"/>
        </w:rPr>
        <w:t> </w:t>
      </w:r>
      <w:r>
        <w:rPr>
          <w:spacing w:val="-6"/>
        </w:rPr>
        <w:t>το</w:t>
      </w:r>
      <w:r>
        <w:rPr>
          <w:spacing w:val="-13"/>
        </w:rPr>
        <w:t> </w:t>
      </w:r>
      <w:r>
        <w:rPr>
          <w:spacing w:val="-6"/>
        </w:rPr>
        <w:t>κόστος</w:t>
      </w:r>
      <w:r>
        <w:rPr>
          <w:spacing w:val="-11"/>
        </w:rPr>
        <w:t> </w:t>
      </w:r>
      <w:r>
        <w:rPr>
          <w:spacing w:val="-6"/>
        </w:rPr>
        <w:t>των</w:t>
      </w:r>
      <w:r>
        <w:rPr>
          <w:spacing w:val="-14"/>
        </w:rPr>
        <w:t> </w:t>
      </w:r>
      <w:r>
        <w:rPr>
          <w:spacing w:val="-6"/>
        </w:rPr>
        <w:t>καταθέσεων</w:t>
      </w:r>
      <w:r>
        <w:rPr>
          <w:spacing w:val="-13"/>
        </w:rPr>
        <w:t> </w:t>
      </w:r>
      <w:r>
        <w:rPr>
          <w:spacing w:val="-6"/>
        </w:rPr>
        <w:t>επηρέασε</w:t>
      </w:r>
      <w:r>
        <w:rPr>
          <w:spacing w:val="-14"/>
        </w:rPr>
        <w:t> </w:t>
      </w:r>
      <w:r>
        <w:rPr>
          <w:spacing w:val="-6"/>
        </w:rPr>
        <w:t>αρνητικά</w:t>
      </w:r>
      <w:r>
        <w:rPr>
          <w:spacing w:val="-13"/>
        </w:rPr>
        <w:t> </w:t>
      </w:r>
      <w:r>
        <w:rPr>
          <w:spacing w:val="-6"/>
        </w:rPr>
        <w:t>το</w:t>
      </w:r>
      <w:r>
        <w:rPr>
          <w:spacing w:val="-13"/>
        </w:rPr>
        <w:t> </w:t>
      </w:r>
      <w:r>
        <w:rPr>
          <w:spacing w:val="-6"/>
        </w:rPr>
        <w:t>Καθαρό</w:t>
      </w:r>
      <w:r>
        <w:rPr>
          <w:spacing w:val="-13"/>
        </w:rPr>
        <w:t> </w:t>
      </w:r>
      <w:r>
        <w:rPr>
          <w:spacing w:val="-6"/>
        </w:rPr>
        <w:t>Έσοδο</w:t>
      </w:r>
      <w:r>
        <w:rPr>
          <w:spacing w:val="-13"/>
        </w:rPr>
        <w:t> </w:t>
      </w:r>
      <w:r>
        <w:rPr>
          <w:spacing w:val="-6"/>
        </w:rPr>
        <w:t>Τόκων</w:t>
      </w:r>
      <w:r>
        <w:rPr>
          <w:spacing w:val="-12"/>
        </w:rPr>
        <w:t> </w:t>
      </w:r>
      <w:r>
        <w:rPr>
          <w:spacing w:val="-6"/>
        </w:rPr>
        <w:t>κατά</w:t>
      </w:r>
      <w:r>
        <w:rPr>
          <w:spacing w:val="-13"/>
        </w:rPr>
        <w:t> </w:t>
      </w:r>
      <w:r>
        <w:rPr>
          <w:spacing w:val="-6"/>
        </w:rPr>
        <w:t>€5,2</w:t>
      </w:r>
      <w:r>
        <w:rPr>
          <w:spacing w:val="-13"/>
        </w:rPr>
        <w:t> </w:t>
      </w:r>
      <w:r>
        <w:rPr>
          <w:spacing w:val="-6"/>
        </w:rPr>
        <w:t>εκατ.</w:t>
      </w:r>
      <w:r>
        <w:rPr>
          <w:spacing w:val="-13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τριμηνιαία</w:t>
      </w:r>
      <w:r>
        <w:rPr>
          <w:spacing w:val="-15"/>
        </w:rPr>
        <w:t> </w:t>
      </w:r>
      <w:r>
        <w:rPr>
          <w:spacing w:val="-6"/>
        </w:rPr>
        <w:t>βάση ως</w:t>
      </w:r>
      <w:r>
        <w:rPr>
          <w:spacing w:val="-12"/>
        </w:rPr>
        <w:t> </w:t>
      </w:r>
      <w:r>
        <w:rPr>
          <w:spacing w:val="-6"/>
        </w:rPr>
        <w:t>αποτέλεσμα</w:t>
      </w:r>
      <w:r>
        <w:rPr>
          <w:spacing w:val="-12"/>
        </w:rPr>
        <w:t> </w:t>
      </w:r>
      <w:r>
        <w:rPr>
          <w:spacing w:val="-6"/>
        </w:rPr>
        <w:t>της</w:t>
      </w:r>
      <w:r>
        <w:rPr>
          <w:spacing w:val="-12"/>
        </w:rPr>
        <w:t> </w:t>
      </w:r>
      <w:r>
        <w:rPr>
          <w:spacing w:val="-6"/>
        </w:rPr>
        <w:t>ανατιμολόγησης</w:t>
      </w:r>
      <w:r>
        <w:rPr>
          <w:spacing w:val="-11"/>
        </w:rPr>
        <w:t> </w:t>
      </w:r>
      <w:r>
        <w:rPr>
          <w:spacing w:val="-6"/>
        </w:rPr>
        <w:t>καθώς</w:t>
      </w:r>
      <w:r>
        <w:rPr>
          <w:spacing w:val="-12"/>
        </w:rPr>
        <w:t> </w:t>
      </w:r>
      <w:r>
        <w:rPr>
          <w:spacing w:val="-6"/>
        </w:rPr>
        <w:t>και</w:t>
      </w:r>
      <w:r>
        <w:rPr>
          <w:spacing w:val="-14"/>
        </w:rPr>
        <w:t> </w:t>
      </w:r>
      <w:r>
        <w:rPr>
          <w:spacing w:val="-6"/>
        </w:rPr>
        <w:t>των</w:t>
      </w:r>
      <w:r>
        <w:rPr>
          <w:spacing w:val="-9"/>
        </w:rPr>
        <w:t> </w:t>
      </w:r>
      <w:r>
        <w:rPr>
          <w:spacing w:val="-6"/>
        </w:rPr>
        <w:t>υψηλότερων</w:t>
      </w:r>
      <w:r>
        <w:rPr>
          <w:spacing w:val="-12"/>
        </w:rPr>
        <w:t> </w:t>
      </w:r>
      <w:r>
        <w:rPr>
          <w:spacing w:val="-6"/>
        </w:rPr>
        <w:t>υπολοίπων</w:t>
      </w:r>
      <w:r>
        <w:rPr>
          <w:spacing w:val="-15"/>
        </w:rPr>
        <w:t> </w:t>
      </w:r>
      <w:r>
        <w:rPr>
          <w:spacing w:val="-6"/>
        </w:rPr>
        <w:t>καταθέσεων</w:t>
      </w:r>
      <w:r>
        <w:rPr>
          <w:spacing w:val="-13"/>
        </w:rPr>
        <w:t> </w:t>
      </w:r>
      <w:r>
        <w:rPr>
          <w:spacing w:val="-6"/>
        </w:rPr>
        <w:t>προθεσμίας.</w:t>
      </w:r>
      <w:r>
        <w:rPr>
          <w:spacing w:val="-14"/>
        </w:rPr>
        <w:t> </w:t>
      </w:r>
      <w:r>
        <w:rPr>
          <w:spacing w:val="-6"/>
        </w:rPr>
        <w:t>Τέλος,</w:t>
      </w:r>
      <w:r>
        <w:rPr>
          <w:spacing w:val="-12"/>
        </w:rPr>
        <w:t> </w:t>
      </w:r>
      <w:r>
        <w:rPr>
          <w:spacing w:val="-6"/>
        </w:rPr>
        <w:t>το</w:t>
      </w:r>
      <w:r>
        <w:rPr>
          <w:spacing w:val="-12"/>
        </w:rPr>
        <w:t> </w:t>
      </w:r>
      <w:r>
        <w:rPr>
          <w:spacing w:val="-6"/>
        </w:rPr>
        <w:t>κόστος </w:t>
      </w:r>
      <w:r>
        <w:rPr>
          <w:spacing w:val="-4"/>
        </w:rPr>
        <w:t>χρηματοδότησης</w:t>
      </w:r>
      <w:r>
        <w:rPr>
          <w:spacing w:val="-11"/>
        </w:rPr>
        <w:t> </w:t>
      </w:r>
      <w:r>
        <w:rPr>
          <w:spacing w:val="-4"/>
        </w:rPr>
        <w:t>είχε</w:t>
      </w:r>
      <w:r>
        <w:rPr>
          <w:spacing w:val="-10"/>
        </w:rPr>
        <w:t> </w:t>
      </w:r>
      <w:r>
        <w:rPr>
          <w:spacing w:val="-4"/>
        </w:rPr>
        <w:t>αρνητική</w:t>
      </w:r>
      <w:r>
        <w:rPr>
          <w:spacing w:val="-11"/>
        </w:rPr>
        <w:t> </w:t>
      </w:r>
      <w:r>
        <w:rPr>
          <w:spacing w:val="-4"/>
        </w:rPr>
        <w:t>επίπτωση</w:t>
      </w:r>
      <w:r>
        <w:rPr>
          <w:spacing w:val="-13"/>
        </w:rPr>
        <w:t> </w:t>
      </w:r>
      <w:r>
        <w:rPr>
          <w:spacing w:val="-4"/>
        </w:rPr>
        <w:t>στο</w:t>
      </w:r>
      <w:r>
        <w:rPr>
          <w:spacing w:val="-12"/>
        </w:rPr>
        <w:t> </w:t>
      </w:r>
      <w:r>
        <w:rPr>
          <w:spacing w:val="-4"/>
        </w:rPr>
        <w:t>Καθαρό</w:t>
      </w:r>
      <w:r>
        <w:rPr>
          <w:spacing w:val="-12"/>
        </w:rPr>
        <w:t> </w:t>
      </w:r>
      <w:r>
        <w:rPr>
          <w:spacing w:val="-4"/>
        </w:rPr>
        <w:t>Έσοδο</w:t>
      </w:r>
      <w:r>
        <w:rPr>
          <w:spacing w:val="-12"/>
        </w:rPr>
        <w:t> </w:t>
      </w:r>
      <w:r>
        <w:rPr>
          <w:spacing w:val="-4"/>
        </w:rPr>
        <w:t>Τόκων</w:t>
      </w:r>
      <w:r>
        <w:rPr>
          <w:spacing w:val="-13"/>
        </w:rPr>
        <w:t> </w:t>
      </w:r>
      <w:r>
        <w:rPr>
          <w:spacing w:val="-4"/>
        </w:rPr>
        <w:t>κατά</w:t>
      </w:r>
      <w:r>
        <w:rPr>
          <w:spacing w:val="-14"/>
        </w:rPr>
        <w:t> </w:t>
      </w:r>
      <w:r>
        <w:rPr>
          <w:spacing w:val="-4"/>
        </w:rPr>
        <w:t>€2</w:t>
      </w:r>
      <w:r>
        <w:rPr>
          <w:spacing w:val="-12"/>
        </w:rPr>
        <w:t> </w:t>
      </w:r>
      <w:r>
        <w:rPr>
          <w:spacing w:val="-4"/>
        </w:rPr>
        <w:t>εκατ.</w:t>
      </w:r>
      <w:r>
        <w:rPr>
          <w:spacing w:val="-12"/>
        </w:rPr>
        <w:t> </w:t>
      </w:r>
      <w:r>
        <w:rPr>
          <w:spacing w:val="-4"/>
        </w:rPr>
        <w:t>σε</w:t>
      </w:r>
      <w:r>
        <w:rPr>
          <w:spacing w:val="-15"/>
        </w:rPr>
        <w:t> </w:t>
      </w:r>
      <w:r>
        <w:rPr>
          <w:spacing w:val="-4"/>
        </w:rPr>
        <w:t>τριμηνιαία</w:t>
      </w:r>
      <w:r>
        <w:rPr>
          <w:spacing w:val="-12"/>
        </w:rPr>
        <w:t> </w:t>
      </w:r>
      <w:r>
        <w:rPr>
          <w:spacing w:val="-4"/>
        </w:rPr>
        <w:t>βάση,</w:t>
      </w:r>
      <w:r>
        <w:rPr>
          <w:spacing w:val="-10"/>
        </w:rPr>
        <w:t> </w:t>
      </w:r>
      <w:r>
        <w:rPr>
          <w:spacing w:val="-4"/>
        </w:rPr>
        <w:t>κυρίως</w:t>
      </w:r>
      <w:r>
        <w:rPr>
          <w:spacing w:val="-13"/>
        </w:rPr>
        <w:t> </w:t>
      </w:r>
      <w:r>
        <w:rPr>
          <w:spacing w:val="-4"/>
        </w:rPr>
        <w:t>ως </w:t>
      </w:r>
      <w:r>
        <w:rPr>
          <w:spacing w:val="-6"/>
        </w:rPr>
        <w:t>αποτέλεσμα των</w:t>
      </w:r>
      <w:r>
        <w:rPr>
          <w:spacing w:val="-7"/>
        </w:rPr>
        <w:t> </w:t>
      </w:r>
      <w:r>
        <w:rPr>
          <w:spacing w:val="-6"/>
        </w:rPr>
        <w:t>αυξημένων</w:t>
      </w:r>
      <w:r>
        <w:rPr>
          <w:spacing w:val="-9"/>
        </w:rPr>
        <w:t> </w:t>
      </w:r>
      <w:r>
        <w:rPr>
          <w:spacing w:val="-6"/>
        </w:rPr>
        <w:t>υπολοίπων</w:t>
      </w:r>
      <w:r>
        <w:rPr>
          <w:spacing w:val="-7"/>
        </w:rPr>
        <w:t> </w:t>
      </w:r>
      <w:r>
        <w:rPr>
          <w:spacing w:val="-6"/>
        </w:rPr>
        <w:t>εκδόσεων. Το</w:t>
      </w:r>
      <w:r>
        <w:rPr>
          <w:spacing w:val="-8"/>
        </w:rPr>
        <w:t> </w:t>
      </w:r>
      <w:r>
        <w:rPr>
          <w:spacing w:val="-6"/>
        </w:rPr>
        <w:t>α’</w:t>
      </w:r>
      <w:r>
        <w:rPr>
          <w:spacing w:val="-8"/>
        </w:rPr>
        <w:t> </w:t>
      </w:r>
      <w:r>
        <w:rPr>
          <w:spacing w:val="-6"/>
        </w:rPr>
        <w:t>εξάμηνο, το Καθαρό</w:t>
      </w:r>
      <w:r>
        <w:rPr>
          <w:spacing w:val="-8"/>
        </w:rPr>
        <w:t> </w:t>
      </w:r>
      <w:r>
        <w:rPr>
          <w:spacing w:val="-6"/>
        </w:rPr>
        <w:t>έσοδο Τόκων αυξήθηκε κατά 7,3%.</w:t>
      </w:r>
    </w:p>
    <w:p>
      <w:pPr>
        <w:spacing w:before="202"/>
        <w:ind w:left="566" w:right="0" w:firstLine="0"/>
        <w:jc w:val="left"/>
        <w:rPr>
          <w:sz w:val="20"/>
        </w:rPr>
      </w:pPr>
      <w:r>
        <w:rPr>
          <w:color w:val="E2872E"/>
          <w:w w:val="90"/>
          <w:sz w:val="20"/>
        </w:rPr>
        <w:t>Δυναμική</w:t>
      </w:r>
      <w:r>
        <w:rPr>
          <w:color w:val="E2872E"/>
          <w:spacing w:val="13"/>
          <w:sz w:val="20"/>
        </w:rPr>
        <w:t> </w:t>
      </w:r>
      <w:r>
        <w:rPr>
          <w:color w:val="E2872E"/>
          <w:w w:val="90"/>
          <w:sz w:val="20"/>
        </w:rPr>
        <w:t>επίδοση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στα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Έσοδα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από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αμοιβές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υπηρεσιών,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ενισχυμένα</w:t>
      </w:r>
      <w:r>
        <w:rPr>
          <w:color w:val="E2872E"/>
          <w:spacing w:val="12"/>
          <w:sz w:val="20"/>
        </w:rPr>
        <w:t> </w:t>
      </w:r>
      <w:r>
        <w:rPr>
          <w:color w:val="E2872E"/>
          <w:w w:val="90"/>
          <w:sz w:val="20"/>
        </w:rPr>
        <w:t>κατά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33,6%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σε</w:t>
      </w:r>
      <w:r>
        <w:rPr>
          <w:color w:val="E2872E"/>
          <w:spacing w:val="10"/>
          <w:sz w:val="20"/>
        </w:rPr>
        <w:t> </w:t>
      </w:r>
      <w:r>
        <w:rPr>
          <w:color w:val="E2872E"/>
          <w:w w:val="90"/>
          <w:sz w:val="20"/>
        </w:rPr>
        <w:t>τριμηνιαία</w:t>
      </w:r>
      <w:r>
        <w:rPr>
          <w:color w:val="E2872E"/>
          <w:spacing w:val="10"/>
          <w:sz w:val="20"/>
        </w:rPr>
        <w:t> </w:t>
      </w:r>
      <w:r>
        <w:rPr>
          <w:color w:val="E2872E"/>
          <w:spacing w:val="-4"/>
          <w:w w:val="90"/>
          <w:sz w:val="20"/>
        </w:rPr>
        <w:t>βάση</w:t>
      </w:r>
    </w:p>
    <w:p>
      <w:pPr>
        <w:pStyle w:val="BodyText"/>
        <w:spacing w:before="113"/>
        <w:ind w:left="566" w:right="668"/>
      </w:pPr>
      <w:r>
        <w:rPr>
          <w:spacing w:val="-6"/>
        </w:rPr>
        <w:t>Τα</w:t>
      </w:r>
      <w:r>
        <w:rPr>
          <w:spacing w:val="-13"/>
        </w:rPr>
        <w:t> </w:t>
      </w:r>
      <w:r>
        <w:rPr>
          <w:rFonts w:ascii="Tahoma" w:hAnsi="Tahoma"/>
          <w:b/>
          <w:spacing w:val="-6"/>
        </w:rPr>
        <w:t>Έσοδα</w:t>
      </w:r>
      <w:r>
        <w:rPr>
          <w:rFonts w:ascii="Tahoma" w:hAnsi="Tahoma"/>
          <w:b/>
          <w:spacing w:val="-8"/>
        </w:rPr>
        <w:t> </w:t>
      </w:r>
      <w:r>
        <w:rPr>
          <w:rFonts w:ascii="Tahoma" w:hAnsi="Tahoma"/>
          <w:b/>
          <w:spacing w:val="-6"/>
        </w:rPr>
        <w:t>από</w:t>
      </w:r>
      <w:r>
        <w:rPr>
          <w:rFonts w:ascii="Tahoma" w:hAnsi="Tahoma"/>
          <w:b/>
          <w:spacing w:val="-7"/>
        </w:rPr>
        <w:t> </w:t>
      </w:r>
      <w:r>
        <w:rPr>
          <w:rFonts w:ascii="Tahoma" w:hAnsi="Tahoma"/>
          <w:b/>
          <w:spacing w:val="-6"/>
        </w:rPr>
        <w:t>αμοιβές</w:t>
      </w:r>
      <w:r>
        <w:rPr>
          <w:rFonts w:ascii="Tahoma" w:hAnsi="Tahoma"/>
          <w:b/>
          <w:spacing w:val="-7"/>
        </w:rPr>
        <w:t> </w:t>
      </w:r>
      <w:r>
        <w:rPr>
          <w:rFonts w:ascii="Tahoma" w:hAnsi="Tahoma"/>
          <w:b/>
          <w:spacing w:val="-6"/>
        </w:rPr>
        <w:t>υπηρεσιών</w:t>
      </w:r>
      <w:r>
        <w:rPr>
          <w:rFonts w:ascii="Tahoma" w:hAnsi="Tahoma"/>
          <w:b/>
          <w:spacing w:val="-7"/>
        </w:rPr>
        <w:t> </w:t>
      </w:r>
      <w:r>
        <w:rPr>
          <w:spacing w:val="-6"/>
        </w:rPr>
        <w:t>ανήλθαν</w:t>
      </w:r>
      <w:r>
        <w:rPr>
          <w:spacing w:val="-14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€186,7</w:t>
      </w:r>
      <w:r>
        <w:rPr>
          <w:spacing w:val="-12"/>
        </w:rPr>
        <w:t> </w:t>
      </w:r>
      <w:r>
        <w:rPr>
          <w:spacing w:val="-6"/>
        </w:rPr>
        <w:t>εκατ.</w:t>
      </w:r>
      <w:r>
        <w:rPr>
          <w:spacing w:val="-13"/>
        </w:rPr>
        <w:t> </w:t>
      </w:r>
      <w:r>
        <w:rPr>
          <w:spacing w:val="-6"/>
        </w:rPr>
        <w:t>το</w:t>
      </w:r>
      <w:r>
        <w:rPr>
          <w:spacing w:val="-13"/>
        </w:rPr>
        <w:t> </w:t>
      </w:r>
      <w:r>
        <w:rPr>
          <w:spacing w:val="-6"/>
        </w:rPr>
        <w:t>β’</w:t>
      </w:r>
      <w:r>
        <w:rPr>
          <w:spacing w:val="-13"/>
        </w:rPr>
        <w:t> </w:t>
      </w:r>
      <w:r>
        <w:rPr>
          <w:spacing w:val="-6"/>
        </w:rPr>
        <w:t>τρίμηνο,</w:t>
      </w:r>
      <w:r>
        <w:rPr>
          <w:spacing w:val="-13"/>
        </w:rPr>
        <w:t> </w:t>
      </w:r>
      <w:r>
        <w:rPr>
          <w:spacing w:val="-6"/>
        </w:rPr>
        <w:t>ενισχυμένα</w:t>
      </w:r>
      <w:r>
        <w:rPr>
          <w:spacing w:val="-16"/>
        </w:rPr>
        <w:t> </w:t>
      </w:r>
      <w:r>
        <w:rPr>
          <w:spacing w:val="-6"/>
        </w:rPr>
        <w:t>κατά</w:t>
      </w:r>
      <w:r>
        <w:rPr>
          <w:spacing w:val="-11"/>
        </w:rPr>
        <w:t> </w:t>
      </w:r>
      <w:r>
        <w:rPr>
          <w:spacing w:val="-6"/>
        </w:rPr>
        <w:t>33,6%</w:t>
      </w:r>
      <w:r>
        <w:rPr>
          <w:spacing w:val="-13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τριμηνιαία</w:t>
      </w:r>
      <w:r>
        <w:rPr>
          <w:spacing w:val="-16"/>
        </w:rPr>
        <w:t> </w:t>
      </w:r>
      <w:r>
        <w:rPr>
          <w:spacing w:val="-6"/>
        </w:rPr>
        <w:t>βάση, </w:t>
      </w:r>
      <w:r>
        <w:rPr>
          <w:spacing w:val="-4"/>
        </w:rPr>
        <w:t>κυρίως</w:t>
      </w:r>
      <w:r>
        <w:rPr>
          <w:spacing w:val="-14"/>
        </w:rPr>
        <w:t> </w:t>
      </w:r>
      <w:r>
        <w:rPr>
          <w:spacing w:val="-4"/>
        </w:rPr>
        <w:t>ως</w:t>
      </w:r>
      <w:r>
        <w:rPr>
          <w:spacing w:val="-14"/>
        </w:rPr>
        <w:t> </w:t>
      </w:r>
      <w:r>
        <w:rPr>
          <w:spacing w:val="-4"/>
        </w:rPr>
        <w:t>αποτέλεσμα</w:t>
      </w:r>
      <w:r>
        <w:rPr>
          <w:spacing w:val="-12"/>
        </w:rPr>
        <w:t> </w:t>
      </w:r>
      <w:r>
        <w:rPr>
          <w:spacing w:val="-4"/>
        </w:rPr>
        <w:t>της</w:t>
      </w:r>
      <w:r>
        <w:rPr>
          <w:spacing w:val="-12"/>
        </w:rPr>
        <w:t> </w:t>
      </w:r>
      <w:r>
        <w:rPr>
          <w:spacing w:val="-4"/>
        </w:rPr>
        <w:t>αύξησης</w:t>
      </w:r>
      <w:r>
        <w:rPr>
          <w:spacing w:val="-8"/>
        </w:rPr>
        <w:t> </w:t>
      </w:r>
      <w:r>
        <w:rPr>
          <w:spacing w:val="-4"/>
        </w:rPr>
        <w:t>των</w:t>
      </w:r>
      <w:r>
        <w:rPr>
          <w:spacing w:val="-13"/>
        </w:rPr>
        <w:t> </w:t>
      </w:r>
      <w:r>
        <w:rPr>
          <w:spacing w:val="-4"/>
        </w:rPr>
        <w:t>εσόδων</w:t>
      </w:r>
      <w:r>
        <w:rPr>
          <w:spacing w:val="-13"/>
        </w:rPr>
        <w:t> </w:t>
      </w:r>
      <w:r>
        <w:rPr>
          <w:spacing w:val="-4"/>
        </w:rPr>
        <w:t>διαχείρισης</w:t>
      </w:r>
      <w:r>
        <w:rPr>
          <w:spacing w:val="-12"/>
        </w:rPr>
        <w:t> </w:t>
      </w:r>
      <w:r>
        <w:rPr>
          <w:spacing w:val="-4"/>
        </w:rPr>
        <w:t>ακινήτων,</w:t>
      </w:r>
      <w:r>
        <w:rPr>
          <w:spacing w:val="-14"/>
        </w:rPr>
        <w:t> </w:t>
      </w:r>
      <w:r>
        <w:rPr>
          <w:spacing w:val="-4"/>
        </w:rPr>
        <w:t>τα</w:t>
      </w:r>
      <w:r>
        <w:rPr>
          <w:spacing w:val="-12"/>
        </w:rPr>
        <w:t> </w:t>
      </w:r>
      <w:r>
        <w:rPr>
          <w:spacing w:val="-4"/>
        </w:rPr>
        <w:t>οποία</w:t>
      </w:r>
      <w:r>
        <w:rPr>
          <w:spacing w:val="-15"/>
        </w:rPr>
        <w:t> </w:t>
      </w:r>
      <w:r>
        <w:rPr>
          <w:spacing w:val="-4"/>
        </w:rPr>
        <w:t>επωφελήθηκαν</w:t>
      </w:r>
      <w:r>
        <w:rPr>
          <w:spacing w:val="-13"/>
        </w:rPr>
        <w:t> </w:t>
      </w:r>
      <w:r>
        <w:rPr>
          <w:spacing w:val="-4"/>
        </w:rPr>
        <w:t>από</w:t>
      </w:r>
      <w:r>
        <w:rPr>
          <w:spacing w:val="-10"/>
        </w:rPr>
        <w:t> </w:t>
      </w:r>
      <w:r>
        <w:rPr>
          <w:spacing w:val="-4"/>
        </w:rPr>
        <w:t>μέρισμα</w:t>
      </w:r>
      <w:r>
        <w:rPr>
          <w:spacing w:val="-14"/>
        </w:rPr>
        <w:t> </w:t>
      </w:r>
      <w:r>
        <w:rPr>
          <w:spacing w:val="-4"/>
        </w:rPr>
        <w:t>ύψους</w:t>
      </w:r>
    </w:p>
    <w:p>
      <w:pPr>
        <w:pStyle w:val="BodyText"/>
        <w:ind w:left="566" w:right="582"/>
      </w:pPr>
      <w:r>
        <w:rPr>
          <w:w w:val="90"/>
        </w:rPr>
        <w:t>€39,6 εκατ. που καταβλήθηκε κατά το β’ τρίμηνο από τη συμμετοχή της Τράπεζας στην PRODEA Investments, καθώς και </w:t>
      </w:r>
      <w:r>
        <w:rPr>
          <w:spacing w:val="-6"/>
        </w:rPr>
        <w:t>από την υψηλότερη συνεισφορά των δραστηριοτήτων επενδυτικής τραπεζικής και χρηματιστηριακών συναλλαγών και</w:t>
      </w:r>
    </w:p>
    <w:p>
      <w:pPr>
        <w:pStyle w:val="BodyText"/>
        <w:ind w:left="566" w:right="749"/>
      </w:pPr>
      <w:r>
        <w:rPr>
          <w:spacing w:val="-6"/>
        </w:rPr>
        <w:t>την</w:t>
      </w:r>
      <w:r>
        <w:rPr>
          <w:spacing w:val="-10"/>
        </w:rPr>
        <w:t> </w:t>
      </w:r>
      <w:r>
        <w:rPr>
          <w:spacing w:val="-6"/>
        </w:rPr>
        <w:t>αυξημένη</w:t>
      </w:r>
      <w:r>
        <w:rPr>
          <w:spacing w:val="-10"/>
        </w:rPr>
        <w:t> </w:t>
      </w:r>
      <w:r>
        <w:rPr>
          <w:spacing w:val="-6"/>
        </w:rPr>
        <w:t>δραστηριότητα</w:t>
      </w:r>
      <w:r>
        <w:rPr>
          <w:spacing w:val="-9"/>
        </w:rPr>
        <w:t> </w:t>
      </w:r>
      <w:r>
        <w:rPr>
          <w:spacing w:val="-6"/>
        </w:rPr>
        <w:t>καρτών</w:t>
      </w:r>
      <w:r>
        <w:rPr>
          <w:spacing w:val="-10"/>
        </w:rPr>
        <w:t> </w:t>
      </w:r>
      <w:r>
        <w:rPr>
          <w:spacing w:val="-6"/>
        </w:rPr>
        <w:t>και</w:t>
      </w:r>
      <w:r>
        <w:rPr>
          <w:spacing w:val="-9"/>
        </w:rPr>
        <w:t> </w:t>
      </w:r>
      <w:r>
        <w:rPr>
          <w:spacing w:val="-6"/>
        </w:rPr>
        <w:t>πληρωμών.</w:t>
      </w:r>
      <w:r>
        <w:rPr>
          <w:spacing w:val="-10"/>
        </w:rPr>
        <w:t> </w:t>
      </w:r>
      <w:r>
        <w:rPr>
          <w:spacing w:val="-6"/>
        </w:rPr>
        <w:t>Εξαιρουμένου</w:t>
      </w:r>
      <w:r>
        <w:rPr>
          <w:spacing w:val="-9"/>
        </w:rPr>
        <w:t> </w:t>
      </w:r>
      <w:r>
        <w:rPr>
          <w:spacing w:val="-6"/>
        </w:rPr>
        <w:t>του</w:t>
      </w:r>
      <w:r>
        <w:rPr>
          <w:spacing w:val="-12"/>
        </w:rPr>
        <w:t> </w:t>
      </w:r>
      <w:r>
        <w:rPr>
          <w:spacing w:val="-6"/>
        </w:rPr>
        <w:t>μερίσματος της PRODEA,</w:t>
      </w:r>
      <w:r>
        <w:rPr>
          <w:spacing w:val="-9"/>
        </w:rPr>
        <w:t> </w:t>
      </w:r>
      <w:r>
        <w:rPr>
          <w:spacing w:val="-6"/>
        </w:rPr>
        <w:t>τα</w:t>
      </w:r>
      <w:r>
        <w:rPr>
          <w:spacing w:val="-11"/>
        </w:rPr>
        <w:t> </w:t>
      </w:r>
      <w:r>
        <w:rPr>
          <w:spacing w:val="-6"/>
        </w:rPr>
        <w:t>έσοδα</w:t>
      </w:r>
      <w:r>
        <w:rPr>
          <w:spacing w:val="-9"/>
        </w:rPr>
        <w:t> </w:t>
      </w:r>
      <w:r>
        <w:rPr>
          <w:spacing w:val="-6"/>
        </w:rPr>
        <w:t>από αμοιβές</w:t>
      </w:r>
      <w:r>
        <w:rPr>
          <w:spacing w:val="-15"/>
        </w:rPr>
        <w:t> </w:t>
      </w:r>
      <w:r>
        <w:rPr>
          <w:spacing w:val="-6"/>
        </w:rPr>
        <w:t>υπηρεσιών</w:t>
      </w:r>
      <w:r>
        <w:rPr>
          <w:spacing w:val="-16"/>
        </w:rPr>
        <w:t> </w:t>
      </w:r>
      <w:r>
        <w:rPr>
          <w:spacing w:val="-6"/>
        </w:rPr>
        <w:t>αυξήθηκαν</w:t>
      </w:r>
      <w:r>
        <w:rPr>
          <w:spacing w:val="-14"/>
        </w:rPr>
        <w:t> </w:t>
      </w:r>
      <w:r>
        <w:rPr>
          <w:spacing w:val="-6"/>
        </w:rPr>
        <w:t>κατά</w:t>
      </w:r>
      <w:r>
        <w:rPr>
          <w:spacing w:val="-13"/>
        </w:rPr>
        <w:t> </w:t>
      </w:r>
      <w:r>
        <w:rPr>
          <w:spacing w:val="-6"/>
        </w:rPr>
        <w:t>+5,3%</w:t>
      </w:r>
      <w:r>
        <w:rPr>
          <w:spacing w:val="-15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τριμηνιαία</w:t>
      </w:r>
      <w:r>
        <w:rPr>
          <w:spacing w:val="-18"/>
        </w:rPr>
        <w:t> </w:t>
      </w:r>
      <w:r>
        <w:rPr>
          <w:spacing w:val="-6"/>
        </w:rPr>
        <w:t>βάση.</w:t>
      </w:r>
      <w:r>
        <w:rPr>
          <w:spacing w:val="-10"/>
        </w:rPr>
        <w:t> </w:t>
      </w:r>
      <w:r>
        <w:rPr>
          <w:spacing w:val="-6"/>
        </w:rPr>
        <w:t>Κατά</w:t>
      </w:r>
      <w:r>
        <w:rPr>
          <w:spacing w:val="-13"/>
        </w:rPr>
        <w:t> </w:t>
      </w:r>
      <w:r>
        <w:rPr>
          <w:spacing w:val="-6"/>
        </w:rPr>
        <w:t>το</w:t>
      </w:r>
      <w:r>
        <w:rPr>
          <w:spacing w:val="-13"/>
        </w:rPr>
        <w:t> </w:t>
      </w:r>
      <w:r>
        <w:rPr>
          <w:spacing w:val="-6"/>
        </w:rPr>
        <w:t>α’</w:t>
      </w:r>
      <w:r>
        <w:rPr>
          <w:spacing w:val="-13"/>
        </w:rPr>
        <w:t> </w:t>
      </w:r>
      <w:r>
        <w:rPr>
          <w:spacing w:val="-6"/>
        </w:rPr>
        <w:t>εξάμηνο</w:t>
      </w:r>
      <w:r>
        <w:rPr>
          <w:spacing w:val="-15"/>
        </w:rPr>
        <w:t> </w:t>
      </w:r>
      <w:r>
        <w:rPr>
          <w:spacing w:val="-6"/>
        </w:rPr>
        <w:t>2026,</w:t>
      </w:r>
      <w:r>
        <w:rPr>
          <w:spacing w:val="-13"/>
        </w:rPr>
        <w:t> </w:t>
      </w:r>
      <w:r>
        <w:rPr>
          <w:spacing w:val="-6"/>
        </w:rPr>
        <w:t>τα</w:t>
      </w:r>
      <w:r>
        <w:rPr>
          <w:spacing w:val="-15"/>
        </w:rPr>
        <w:t> </w:t>
      </w:r>
      <w:r>
        <w:rPr>
          <w:spacing w:val="-6"/>
        </w:rPr>
        <w:t>έσοδα</w:t>
      </w:r>
      <w:r>
        <w:rPr>
          <w:spacing w:val="-13"/>
        </w:rPr>
        <w:t> </w:t>
      </w:r>
      <w:r>
        <w:rPr>
          <w:spacing w:val="-6"/>
        </w:rPr>
        <w:t>από</w:t>
      </w:r>
      <w:r>
        <w:rPr>
          <w:spacing w:val="-13"/>
        </w:rPr>
        <w:t> </w:t>
      </w:r>
      <w:r>
        <w:rPr>
          <w:spacing w:val="-6"/>
        </w:rPr>
        <w:t>αμοιβές</w:t>
      </w:r>
    </w:p>
    <w:p>
      <w:pPr>
        <w:pStyle w:val="BodyText"/>
        <w:ind w:left="566" w:right="749"/>
      </w:pPr>
      <w:r>
        <w:rPr>
          <w:w w:val="90"/>
        </w:rPr>
        <w:t>υπηρεσιών αυξήθηκαν κατά +34% (+23,7% σε ετήσια βάση, εξαιρουμένων των μερισμάτων από την PRODEA), χάρη </w:t>
      </w:r>
      <w:r>
        <w:rPr>
          <w:spacing w:val="-6"/>
        </w:rPr>
        <w:t>στην</w:t>
      </w:r>
      <w:r>
        <w:rPr>
          <w:spacing w:val="-10"/>
        </w:rPr>
        <w:t> </w:t>
      </w:r>
      <w:r>
        <w:rPr>
          <w:spacing w:val="-6"/>
        </w:rPr>
        <w:t>ισχυρή</w:t>
      </w:r>
      <w:r>
        <w:rPr>
          <w:spacing w:val="-8"/>
        </w:rPr>
        <w:t> </w:t>
      </w:r>
      <w:r>
        <w:rPr>
          <w:spacing w:val="-6"/>
        </w:rPr>
        <w:t>ανάπτυξη</w:t>
      </w:r>
      <w:r>
        <w:rPr>
          <w:spacing w:val="-7"/>
        </w:rPr>
        <w:t> </w:t>
      </w:r>
      <w:r>
        <w:rPr>
          <w:spacing w:val="-6"/>
        </w:rPr>
        <w:t>των</w:t>
      </w:r>
      <w:r>
        <w:rPr>
          <w:spacing w:val="-10"/>
        </w:rPr>
        <w:t> </w:t>
      </w:r>
      <w:r>
        <w:rPr>
          <w:spacing w:val="-6"/>
        </w:rPr>
        <w:t>δραστηριοτήτων</w:t>
      </w:r>
      <w:r>
        <w:rPr>
          <w:spacing w:val="-7"/>
        </w:rPr>
        <w:t> </w:t>
      </w:r>
      <w:r>
        <w:rPr>
          <w:spacing w:val="-6"/>
        </w:rPr>
        <w:t>επενδυτικής</w:t>
      </w:r>
      <w:r>
        <w:rPr>
          <w:spacing w:val="-12"/>
        </w:rPr>
        <w:t> </w:t>
      </w:r>
      <w:r>
        <w:rPr>
          <w:spacing w:val="-6"/>
        </w:rPr>
        <w:t>τραπεζικής</w:t>
      </w:r>
      <w:r>
        <w:rPr>
          <w:spacing w:val="-7"/>
        </w:rPr>
        <w:t> </w:t>
      </w:r>
      <w:r>
        <w:rPr>
          <w:spacing w:val="-6"/>
        </w:rPr>
        <w:t>και</w:t>
      </w:r>
      <w:r>
        <w:rPr>
          <w:spacing w:val="-8"/>
        </w:rPr>
        <w:t> </w:t>
      </w:r>
      <w:r>
        <w:rPr>
          <w:spacing w:val="-6"/>
        </w:rPr>
        <w:t>χρηματιστηριακών</w:t>
      </w:r>
      <w:r>
        <w:rPr>
          <w:spacing w:val="-10"/>
        </w:rPr>
        <w:t> </w:t>
      </w:r>
      <w:r>
        <w:rPr>
          <w:spacing w:val="-6"/>
        </w:rPr>
        <w:t>εργασιών καθώς</w:t>
      </w:r>
      <w:r>
        <w:rPr>
          <w:spacing w:val="-11"/>
        </w:rPr>
        <w:t> </w:t>
      </w:r>
      <w:r>
        <w:rPr>
          <w:spacing w:val="-6"/>
        </w:rPr>
        <w:t>και</w:t>
      </w:r>
      <w:r>
        <w:rPr>
          <w:spacing w:val="-8"/>
        </w:rPr>
        <w:t> </w:t>
      </w:r>
      <w:r>
        <w:rPr>
          <w:spacing w:val="-6"/>
        </w:rPr>
        <w:t>τη </w:t>
      </w:r>
      <w:r>
        <w:rPr>
          <w:spacing w:val="-4"/>
        </w:rPr>
        <w:t>συνεχιζόμενη</w:t>
      </w:r>
      <w:r>
        <w:rPr>
          <w:spacing w:val="-12"/>
        </w:rPr>
        <w:t> </w:t>
      </w:r>
      <w:r>
        <w:rPr>
          <w:spacing w:val="-4"/>
        </w:rPr>
        <w:t>δυναμική</w:t>
      </w:r>
      <w:r>
        <w:rPr>
          <w:spacing w:val="-10"/>
        </w:rPr>
        <w:t> </w:t>
      </w:r>
      <w:r>
        <w:rPr>
          <w:spacing w:val="-4"/>
        </w:rPr>
        <w:t>των</w:t>
      </w:r>
      <w:r>
        <w:rPr>
          <w:spacing w:val="-14"/>
        </w:rPr>
        <w:t> </w:t>
      </w:r>
      <w:r>
        <w:rPr>
          <w:spacing w:val="-4"/>
        </w:rPr>
        <w:t>προμηθειών</w:t>
      </w:r>
      <w:r>
        <w:rPr>
          <w:spacing w:val="-12"/>
        </w:rPr>
        <w:t> </w:t>
      </w:r>
      <w:r>
        <w:rPr>
          <w:spacing w:val="-4"/>
        </w:rPr>
        <w:t>εργασιών</w:t>
      </w:r>
      <w:r>
        <w:rPr>
          <w:spacing w:val="-12"/>
        </w:rPr>
        <w:t> </w:t>
      </w:r>
      <w:r>
        <w:rPr>
          <w:spacing w:val="-4"/>
        </w:rPr>
        <w:t>διαχείρισης</w:t>
      </w:r>
      <w:r>
        <w:rPr>
          <w:spacing w:val="-11"/>
        </w:rPr>
        <w:t> </w:t>
      </w:r>
      <w:r>
        <w:rPr>
          <w:spacing w:val="-4"/>
        </w:rPr>
        <w:t>χαρτοφυλακίου</w:t>
      </w:r>
      <w:r>
        <w:rPr>
          <w:spacing w:val="-8"/>
        </w:rPr>
        <w:t> </w:t>
      </w:r>
      <w:r>
        <w:rPr>
          <w:spacing w:val="-4"/>
        </w:rPr>
        <w:t>και</w:t>
      </w:r>
      <w:r>
        <w:rPr>
          <w:spacing w:val="-10"/>
        </w:rPr>
        <w:t> </w:t>
      </w:r>
      <w:r>
        <w:rPr>
          <w:spacing w:val="-4"/>
        </w:rPr>
        <w:t>των</w:t>
      </w:r>
      <w:r>
        <w:rPr>
          <w:spacing w:val="-12"/>
        </w:rPr>
        <w:t> </w:t>
      </w:r>
      <w:r>
        <w:rPr>
          <w:spacing w:val="-4"/>
        </w:rPr>
        <w:t>προμηθειών</w:t>
      </w:r>
      <w:r>
        <w:rPr>
          <w:spacing w:val="-12"/>
        </w:rPr>
        <w:t> </w:t>
      </w:r>
      <w:r>
        <w:rPr>
          <w:spacing w:val="-4"/>
        </w:rPr>
        <w:t>χορηγήσεων </w:t>
      </w:r>
      <w:r>
        <w:rPr>
          <w:spacing w:val="-2"/>
        </w:rPr>
        <w:t>δανείων.</w:t>
      </w:r>
    </w:p>
    <w:p>
      <w:pPr>
        <w:pStyle w:val="BodyText"/>
        <w:spacing w:line="244" w:lineRule="auto" w:before="218"/>
        <w:ind w:left="566"/>
      </w:pPr>
      <w:r>
        <w:rPr>
          <w:spacing w:val="-6"/>
        </w:rPr>
        <w:t>Τα</w:t>
      </w:r>
      <w:r>
        <w:rPr>
          <w:spacing w:val="-8"/>
        </w:rPr>
        <w:t> </w:t>
      </w:r>
      <w:r>
        <w:rPr>
          <w:rFonts w:ascii="Tahoma" w:hAnsi="Tahoma"/>
          <w:b/>
          <w:spacing w:val="-6"/>
        </w:rPr>
        <w:t>Αποτελέσματα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spacing w:val="-6"/>
        </w:rPr>
        <w:t>Χρηματοοικονομικών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spacing w:val="-6"/>
        </w:rPr>
        <w:t>Πράξεων</w:t>
      </w:r>
      <w:r>
        <w:rPr>
          <w:rFonts w:ascii="Tahoma" w:hAnsi="Tahoma"/>
          <w:b/>
        </w:rPr>
        <w:t> </w:t>
      </w:r>
      <w:r>
        <w:rPr>
          <w:spacing w:val="-6"/>
        </w:rPr>
        <w:t>ανήλθαν</w:t>
      </w:r>
      <w:r>
        <w:rPr>
          <w:spacing w:val="-10"/>
        </w:rPr>
        <w:t> </w:t>
      </w:r>
      <w:r>
        <w:rPr>
          <w:spacing w:val="-6"/>
        </w:rPr>
        <w:t>σε</w:t>
      </w:r>
      <w:r>
        <w:rPr>
          <w:spacing w:val="-8"/>
        </w:rPr>
        <w:t> </w:t>
      </w:r>
      <w:r>
        <w:rPr>
          <w:spacing w:val="-6"/>
        </w:rPr>
        <w:t>-€14,9</w:t>
      </w:r>
      <w:r>
        <w:rPr>
          <w:spacing w:val="-8"/>
        </w:rPr>
        <w:t> </w:t>
      </w:r>
      <w:r>
        <w:rPr>
          <w:spacing w:val="-6"/>
        </w:rPr>
        <w:t>εκατ.</w:t>
      </w:r>
      <w:r>
        <w:rPr>
          <w:spacing w:val="-8"/>
        </w:rPr>
        <w:t> </w:t>
      </w:r>
      <w:r>
        <w:rPr>
          <w:spacing w:val="-6"/>
        </w:rPr>
        <w:t>το</w:t>
      </w:r>
      <w:r>
        <w:rPr>
          <w:spacing w:val="-8"/>
        </w:rPr>
        <w:t> </w:t>
      </w:r>
      <w:r>
        <w:rPr>
          <w:spacing w:val="-6"/>
        </w:rPr>
        <w:t>δεύτερο</w:t>
      </w:r>
      <w:r>
        <w:rPr>
          <w:spacing w:val="-8"/>
        </w:rPr>
        <w:t> </w:t>
      </w:r>
      <w:r>
        <w:rPr>
          <w:spacing w:val="-6"/>
        </w:rPr>
        <w:t>τρίμηνο,</w:t>
      </w:r>
      <w:r>
        <w:rPr>
          <w:spacing w:val="-8"/>
        </w:rPr>
        <w:t> </w:t>
      </w:r>
      <w:r>
        <w:rPr>
          <w:spacing w:val="-6"/>
        </w:rPr>
        <w:t>επηρεασμένα</w:t>
      </w:r>
      <w:r>
        <w:rPr>
          <w:spacing w:val="-12"/>
        </w:rPr>
        <w:t> </w:t>
      </w:r>
      <w:r>
        <w:rPr>
          <w:spacing w:val="-6"/>
        </w:rPr>
        <w:t>από</w:t>
      </w:r>
      <w:r>
        <w:rPr>
          <w:spacing w:val="-10"/>
        </w:rPr>
        <w:t> </w:t>
      </w:r>
      <w:r>
        <w:rPr>
          <w:spacing w:val="-6"/>
        </w:rPr>
        <w:t>την </w:t>
      </w:r>
      <w:r>
        <w:rPr>
          <w:spacing w:val="-4"/>
        </w:rPr>
        <w:t>αρνητική</w:t>
      </w:r>
      <w:r>
        <w:rPr>
          <w:spacing w:val="-9"/>
        </w:rPr>
        <w:t> </w:t>
      </w:r>
      <w:r>
        <w:rPr>
          <w:spacing w:val="-4"/>
        </w:rPr>
        <w:t>επίδραση</w:t>
      </w:r>
      <w:r>
        <w:rPr>
          <w:spacing w:val="-9"/>
        </w:rPr>
        <w:t> </w:t>
      </w:r>
      <w:r>
        <w:rPr>
          <w:spacing w:val="-4"/>
        </w:rPr>
        <w:t>της</w:t>
      </w:r>
      <w:r>
        <w:rPr>
          <w:spacing w:val="-8"/>
        </w:rPr>
        <w:t> </w:t>
      </w:r>
      <w:r>
        <w:rPr>
          <w:spacing w:val="-4"/>
        </w:rPr>
        <w:t>αναπροσαρμογής</w:t>
      </w:r>
      <w:r>
        <w:rPr>
          <w:spacing w:val="-11"/>
        </w:rPr>
        <w:t> </w:t>
      </w:r>
      <w:r>
        <w:rPr>
          <w:spacing w:val="-4"/>
        </w:rPr>
        <w:t>της</w:t>
      </w:r>
      <w:r>
        <w:rPr>
          <w:spacing w:val="-8"/>
        </w:rPr>
        <w:t> </w:t>
      </w:r>
      <w:r>
        <w:rPr>
          <w:spacing w:val="-4"/>
        </w:rPr>
        <w:t>συμμετοχής</w:t>
      </w:r>
      <w:r>
        <w:rPr>
          <w:spacing w:val="-11"/>
        </w:rPr>
        <w:t> </w:t>
      </w:r>
      <w:r>
        <w:rPr>
          <w:spacing w:val="-4"/>
        </w:rPr>
        <w:t>μας</w:t>
      </w:r>
      <w:r>
        <w:rPr>
          <w:spacing w:val="-8"/>
        </w:rPr>
        <w:t> </w:t>
      </w:r>
      <w:r>
        <w:rPr>
          <w:spacing w:val="-4"/>
        </w:rPr>
        <w:t>στην</w:t>
      </w:r>
      <w:r>
        <w:rPr>
          <w:spacing w:val="-10"/>
        </w:rPr>
        <w:t> </w:t>
      </w:r>
      <w:r>
        <w:rPr>
          <w:spacing w:val="-4"/>
        </w:rPr>
        <w:t>Prodea</w:t>
      </w:r>
      <w:r>
        <w:rPr>
          <w:spacing w:val="-9"/>
        </w:rPr>
        <w:t> </w:t>
      </w:r>
      <w:r>
        <w:rPr>
          <w:spacing w:val="-4"/>
        </w:rPr>
        <w:t>λόγω</w:t>
      </w:r>
      <w:r>
        <w:rPr>
          <w:spacing w:val="-9"/>
        </w:rPr>
        <w:t> </w:t>
      </w:r>
      <w:r>
        <w:rPr>
          <w:spacing w:val="-4"/>
        </w:rPr>
        <w:t>της</w:t>
      </w:r>
      <w:r>
        <w:rPr>
          <w:spacing w:val="-9"/>
        </w:rPr>
        <w:t> </w:t>
      </w:r>
      <w:r>
        <w:rPr>
          <w:spacing w:val="-4"/>
        </w:rPr>
        <w:t>χαμηλότερης</w:t>
      </w:r>
      <w:r>
        <w:rPr>
          <w:spacing w:val="-11"/>
        </w:rPr>
        <w:t> </w:t>
      </w:r>
      <w:r>
        <w:rPr>
          <w:spacing w:val="-4"/>
        </w:rPr>
        <w:t>Καθαρής</w:t>
      </w:r>
      <w:r>
        <w:rPr>
          <w:spacing w:val="-10"/>
        </w:rPr>
        <w:t> </w:t>
      </w:r>
      <w:r>
        <w:rPr>
          <w:spacing w:val="-4"/>
        </w:rPr>
        <w:t>Αξίας</w:t>
      </w:r>
    </w:p>
    <w:p>
      <w:pPr>
        <w:pStyle w:val="BodyText"/>
        <w:ind w:left="566"/>
      </w:pPr>
      <w:r>
        <w:rPr>
          <w:w w:val="90"/>
        </w:rPr>
        <w:t>Ενεργητικού</w:t>
      </w:r>
      <w:r>
        <w:rPr>
          <w:spacing w:val="8"/>
        </w:rPr>
        <w:t> </w:t>
      </w:r>
      <w:r>
        <w:rPr>
          <w:w w:val="90"/>
        </w:rPr>
        <w:t>(ΝΑV)</w:t>
      </w:r>
      <w:r>
        <w:rPr>
          <w:spacing w:val="8"/>
        </w:rPr>
        <w:t> </w:t>
      </w:r>
      <w:r>
        <w:rPr>
          <w:w w:val="90"/>
        </w:rPr>
        <w:t>μετά</w:t>
      </w:r>
      <w:r>
        <w:rPr>
          <w:spacing w:val="7"/>
        </w:rPr>
        <w:t> </w:t>
      </w:r>
      <w:r>
        <w:rPr>
          <w:w w:val="90"/>
        </w:rPr>
        <w:t>την</w:t>
      </w:r>
      <w:r>
        <w:rPr>
          <w:spacing w:val="4"/>
        </w:rPr>
        <w:t> </w:t>
      </w:r>
      <w:r>
        <w:rPr>
          <w:w w:val="90"/>
        </w:rPr>
        <w:t>επιστροφή</w:t>
      </w:r>
      <w:r>
        <w:rPr>
          <w:spacing w:val="7"/>
        </w:rPr>
        <w:t> </w:t>
      </w:r>
      <w:r>
        <w:rPr>
          <w:spacing w:val="-2"/>
          <w:w w:val="90"/>
        </w:rPr>
        <w:t>κεφαλαίου.</w:t>
      </w:r>
    </w:p>
    <w:p>
      <w:pPr>
        <w:pStyle w:val="BodyText"/>
        <w:spacing w:before="4"/>
      </w:pPr>
    </w:p>
    <w:p>
      <w:pPr>
        <w:pStyle w:val="BodyText"/>
        <w:ind w:left="566" w:right="749"/>
      </w:pPr>
      <w:r>
        <w:rPr>
          <w:w w:val="90"/>
        </w:rPr>
        <w:t>Τα </w:t>
      </w:r>
      <w:r>
        <w:rPr>
          <w:rFonts w:ascii="Tahoma" w:hAnsi="Tahoma"/>
          <w:b/>
          <w:w w:val="90"/>
        </w:rPr>
        <w:t>Λοιπά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w w:val="90"/>
        </w:rPr>
        <w:t>Έσοδα</w:t>
      </w:r>
      <w:r>
        <w:rPr>
          <w:rFonts w:ascii="Tahoma" w:hAnsi="Tahoma"/>
          <w:b/>
        </w:rPr>
        <w:t> </w:t>
      </w:r>
      <w:r>
        <w:rPr>
          <w:w w:val="90"/>
        </w:rPr>
        <w:t>διαμορφώθηκαν σε €18,8 εκατ. ευρώ το β’ τρίμηνο του 2026, έναντι €4,8 εκατ. ευρώ το α’ τρίμηνο, </w:t>
      </w:r>
      <w:r>
        <w:rPr>
          <w:spacing w:val="-4"/>
        </w:rPr>
        <w:t>κυρίως</w:t>
      </w:r>
      <w:r>
        <w:rPr>
          <w:spacing w:val="-10"/>
        </w:rPr>
        <w:t> </w:t>
      </w:r>
      <w:r>
        <w:rPr>
          <w:spacing w:val="-4"/>
        </w:rPr>
        <w:t>ως</w:t>
      </w:r>
      <w:r>
        <w:rPr>
          <w:spacing w:val="-10"/>
        </w:rPr>
        <w:t> </w:t>
      </w:r>
      <w:r>
        <w:rPr>
          <w:spacing w:val="-4"/>
        </w:rPr>
        <w:t>αποτέλεσμα</w:t>
      </w:r>
      <w:r>
        <w:rPr>
          <w:spacing w:val="-8"/>
        </w:rPr>
        <w:t> </w:t>
      </w:r>
      <w:r>
        <w:rPr>
          <w:spacing w:val="-4"/>
        </w:rPr>
        <w:t>κερδών</w:t>
      </w:r>
      <w:r>
        <w:rPr>
          <w:spacing w:val="-9"/>
        </w:rPr>
        <w:t> </w:t>
      </w:r>
      <w:r>
        <w:rPr>
          <w:spacing w:val="-4"/>
        </w:rPr>
        <w:t>από</w:t>
      </w:r>
      <w:r>
        <w:rPr>
          <w:spacing w:val="-9"/>
        </w:rPr>
        <w:t> </w:t>
      </w:r>
      <w:r>
        <w:rPr>
          <w:spacing w:val="-4"/>
        </w:rPr>
        <w:t>την</w:t>
      </w:r>
      <w:r>
        <w:rPr>
          <w:spacing w:val="-9"/>
        </w:rPr>
        <w:t> </w:t>
      </w:r>
      <w:r>
        <w:rPr>
          <w:spacing w:val="-4"/>
        </w:rPr>
        <w:t>αποτίμηση</w:t>
      </w:r>
      <w:r>
        <w:rPr>
          <w:spacing w:val="-9"/>
        </w:rPr>
        <w:t> </w:t>
      </w:r>
      <w:r>
        <w:rPr>
          <w:spacing w:val="-4"/>
        </w:rPr>
        <w:t>επενδυτικών</w:t>
      </w:r>
      <w:r>
        <w:rPr>
          <w:spacing w:val="-9"/>
        </w:rPr>
        <w:t> </w:t>
      </w:r>
      <w:r>
        <w:rPr>
          <w:spacing w:val="-4"/>
        </w:rPr>
        <w:t>ακινήτων.</w:t>
      </w:r>
    </w:p>
    <w:p>
      <w:pPr>
        <w:pStyle w:val="BodyText"/>
        <w:spacing w:after="0"/>
        <w:sectPr>
          <w:type w:val="continuous"/>
          <w:pgSz w:w="11920" w:h="16850"/>
          <w:pgMar w:header="639" w:footer="648" w:top="1940" w:bottom="280" w:left="283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before="0"/>
        <w:ind w:left="566" w:right="0" w:firstLine="0"/>
        <w:jc w:val="left"/>
        <w:rPr>
          <w:sz w:val="20"/>
        </w:rPr>
      </w:pPr>
      <w:r>
        <w:rPr>
          <w:color w:val="E2872E"/>
          <w:w w:val="90"/>
          <w:sz w:val="20"/>
        </w:rPr>
        <w:t>Επαναλαμβανόμενα</w:t>
      </w:r>
      <w:r>
        <w:rPr>
          <w:color w:val="E2872E"/>
          <w:spacing w:val="18"/>
          <w:sz w:val="20"/>
        </w:rPr>
        <w:t> </w:t>
      </w:r>
      <w:r>
        <w:rPr>
          <w:color w:val="E2872E"/>
          <w:w w:val="90"/>
          <w:sz w:val="20"/>
        </w:rPr>
        <w:t>Λειτουργικά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Έξοδα</w:t>
      </w:r>
      <w:r>
        <w:rPr>
          <w:color w:val="E2872E"/>
          <w:spacing w:val="12"/>
          <w:sz w:val="20"/>
        </w:rPr>
        <w:t> </w:t>
      </w:r>
      <w:r>
        <w:rPr>
          <w:color w:val="E2872E"/>
          <w:w w:val="90"/>
          <w:sz w:val="20"/>
        </w:rPr>
        <w:t>αυξημένα</w:t>
      </w:r>
      <w:r>
        <w:rPr>
          <w:color w:val="E2872E"/>
          <w:spacing w:val="13"/>
          <w:sz w:val="20"/>
        </w:rPr>
        <w:t> </w:t>
      </w:r>
      <w:r>
        <w:rPr>
          <w:color w:val="E2872E"/>
          <w:w w:val="90"/>
          <w:sz w:val="20"/>
        </w:rPr>
        <w:t>κατά</w:t>
      </w:r>
      <w:r>
        <w:rPr>
          <w:color w:val="E2872E"/>
          <w:spacing w:val="12"/>
          <w:sz w:val="20"/>
        </w:rPr>
        <w:t> </w:t>
      </w:r>
      <w:r>
        <w:rPr>
          <w:color w:val="E2872E"/>
          <w:w w:val="90"/>
          <w:sz w:val="20"/>
        </w:rPr>
        <w:t>4,9%</w:t>
      </w:r>
      <w:r>
        <w:rPr>
          <w:color w:val="E2872E"/>
          <w:spacing w:val="14"/>
          <w:sz w:val="20"/>
        </w:rPr>
        <w:t> </w:t>
      </w:r>
      <w:r>
        <w:rPr>
          <w:color w:val="E2872E"/>
          <w:w w:val="90"/>
          <w:sz w:val="20"/>
        </w:rPr>
        <w:t>σε</w:t>
      </w:r>
      <w:r>
        <w:rPr>
          <w:color w:val="E2872E"/>
          <w:spacing w:val="14"/>
          <w:sz w:val="20"/>
        </w:rPr>
        <w:t> </w:t>
      </w:r>
      <w:r>
        <w:rPr>
          <w:color w:val="E2872E"/>
          <w:w w:val="90"/>
          <w:sz w:val="20"/>
        </w:rPr>
        <w:t>τριμηνιαία</w:t>
      </w:r>
      <w:r>
        <w:rPr>
          <w:color w:val="E2872E"/>
          <w:spacing w:val="14"/>
          <w:sz w:val="20"/>
        </w:rPr>
        <w:t> </w:t>
      </w:r>
      <w:r>
        <w:rPr>
          <w:color w:val="E2872E"/>
          <w:spacing w:val="-4"/>
          <w:w w:val="90"/>
          <w:sz w:val="20"/>
        </w:rPr>
        <w:t>βάση</w:t>
      </w:r>
    </w:p>
    <w:p>
      <w:pPr>
        <w:pStyle w:val="BodyText"/>
        <w:spacing w:before="82"/>
        <w:ind w:left="566" w:right="511"/>
      </w:pPr>
      <w:r>
        <w:rPr>
          <w:spacing w:val="-6"/>
        </w:rPr>
        <w:t>Tο</w:t>
      </w:r>
      <w:r>
        <w:rPr>
          <w:spacing w:val="-13"/>
        </w:rPr>
        <w:t> </w:t>
      </w:r>
      <w:r>
        <w:rPr>
          <w:spacing w:val="-6"/>
        </w:rPr>
        <w:t>β’</w:t>
      </w:r>
      <w:r>
        <w:rPr>
          <w:spacing w:val="-13"/>
        </w:rPr>
        <w:t> </w:t>
      </w:r>
      <w:r>
        <w:rPr>
          <w:spacing w:val="-6"/>
        </w:rPr>
        <w:t>τρίμηνο</w:t>
      </w:r>
      <w:r>
        <w:rPr>
          <w:spacing w:val="-16"/>
        </w:rPr>
        <w:t> </w:t>
      </w:r>
      <w:r>
        <w:rPr>
          <w:spacing w:val="-6"/>
        </w:rPr>
        <w:t>2026,</w:t>
      </w:r>
      <w:r>
        <w:rPr>
          <w:spacing w:val="-13"/>
        </w:rPr>
        <w:t> </w:t>
      </w:r>
      <w:r>
        <w:rPr>
          <w:spacing w:val="-6"/>
        </w:rPr>
        <w:t>τα</w:t>
      </w:r>
      <w:r>
        <w:rPr>
          <w:spacing w:val="-16"/>
        </w:rPr>
        <w:t> </w:t>
      </w:r>
      <w:r>
        <w:rPr>
          <w:rFonts w:ascii="Tahoma" w:hAnsi="Tahoma"/>
          <w:b/>
          <w:spacing w:val="-6"/>
        </w:rPr>
        <w:t>Επαναλαμβανόμενα</w:t>
      </w:r>
      <w:r>
        <w:rPr>
          <w:rFonts w:ascii="Tahoma" w:hAnsi="Tahoma"/>
          <w:b/>
          <w:spacing w:val="-8"/>
        </w:rPr>
        <w:t> </w:t>
      </w:r>
      <w:r>
        <w:rPr>
          <w:rFonts w:ascii="Tahoma" w:hAnsi="Tahoma"/>
          <w:b/>
          <w:spacing w:val="-6"/>
        </w:rPr>
        <w:t>Λειτουργικά</w:t>
      </w:r>
      <w:r>
        <w:rPr>
          <w:rFonts w:ascii="Tahoma" w:hAnsi="Tahoma"/>
          <w:b/>
          <w:spacing w:val="-7"/>
        </w:rPr>
        <w:t> </w:t>
      </w:r>
      <w:r>
        <w:rPr>
          <w:rFonts w:ascii="Tahoma" w:hAnsi="Tahoma"/>
          <w:b/>
          <w:spacing w:val="-6"/>
        </w:rPr>
        <w:t>Έξοδα</w:t>
      </w:r>
      <w:r>
        <w:rPr>
          <w:rFonts w:ascii="Tahoma" w:hAnsi="Tahoma"/>
          <w:b/>
          <w:spacing w:val="-7"/>
        </w:rPr>
        <w:t> </w:t>
      </w:r>
      <w:r>
        <w:rPr>
          <w:spacing w:val="-6"/>
        </w:rPr>
        <w:t>ανήλθαν</w:t>
      </w:r>
      <w:r>
        <w:rPr>
          <w:spacing w:val="-14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€239,5</w:t>
      </w:r>
      <w:r>
        <w:rPr>
          <w:spacing w:val="-13"/>
        </w:rPr>
        <w:t> </w:t>
      </w:r>
      <w:r>
        <w:rPr>
          <w:spacing w:val="-6"/>
        </w:rPr>
        <w:t>εκατ.,</w:t>
      </w:r>
      <w:r>
        <w:rPr>
          <w:spacing w:val="-13"/>
        </w:rPr>
        <w:t> </w:t>
      </w:r>
      <w:r>
        <w:rPr>
          <w:spacing w:val="-6"/>
        </w:rPr>
        <w:t>αυξημένα</w:t>
      </w:r>
      <w:r>
        <w:rPr>
          <w:spacing w:val="-14"/>
        </w:rPr>
        <w:t> </w:t>
      </w:r>
      <w:r>
        <w:rPr>
          <w:spacing w:val="-6"/>
        </w:rPr>
        <w:t>κατά</w:t>
      </w:r>
      <w:r>
        <w:rPr>
          <w:spacing w:val="-14"/>
        </w:rPr>
        <w:t> </w:t>
      </w:r>
      <w:r>
        <w:rPr>
          <w:spacing w:val="-6"/>
        </w:rPr>
        <w:t>4,9%</w:t>
      </w:r>
      <w:r>
        <w:rPr>
          <w:spacing w:val="-13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σχέση με</w:t>
      </w:r>
      <w:r>
        <w:rPr>
          <w:spacing w:val="-10"/>
        </w:rPr>
        <w:t> </w:t>
      </w:r>
      <w:r>
        <w:rPr>
          <w:spacing w:val="-6"/>
        </w:rPr>
        <w:t>το</w:t>
      </w:r>
      <w:r>
        <w:rPr>
          <w:spacing w:val="-10"/>
        </w:rPr>
        <w:t> </w:t>
      </w:r>
      <w:r>
        <w:rPr>
          <w:spacing w:val="-6"/>
        </w:rPr>
        <w:t>α’</w:t>
      </w:r>
      <w:r>
        <w:rPr>
          <w:spacing w:val="-10"/>
        </w:rPr>
        <w:t> </w:t>
      </w:r>
      <w:r>
        <w:rPr>
          <w:spacing w:val="-6"/>
        </w:rPr>
        <w:t>τρίμηνο,</w:t>
      </w:r>
      <w:r>
        <w:rPr>
          <w:spacing w:val="-13"/>
        </w:rPr>
        <w:t> </w:t>
      </w:r>
      <w:r>
        <w:rPr>
          <w:spacing w:val="-6"/>
        </w:rPr>
        <w:t>ως</w:t>
      </w:r>
      <w:r>
        <w:rPr>
          <w:spacing w:val="-10"/>
        </w:rPr>
        <w:t> </w:t>
      </w:r>
      <w:r>
        <w:rPr>
          <w:spacing w:val="-6"/>
        </w:rPr>
        <w:t>αποτέλεσμα</w:t>
      </w:r>
      <w:r>
        <w:rPr>
          <w:spacing w:val="-10"/>
        </w:rPr>
        <w:t> </w:t>
      </w:r>
      <w:r>
        <w:rPr>
          <w:spacing w:val="-6"/>
        </w:rPr>
        <w:t>των</w:t>
      </w:r>
      <w:r>
        <w:rPr>
          <w:spacing w:val="-11"/>
        </w:rPr>
        <w:t> </w:t>
      </w:r>
      <w:r>
        <w:rPr>
          <w:spacing w:val="-6"/>
        </w:rPr>
        <w:t>υψηλότερων</w:t>
      </w:r>
      <w:r>
        <w:rPr>
          <w:spacing w:val="-7"/>
        </w:rPr>
        <w:t> </w:t>
      </w:r>
      <w:r>
        <w:rPr>
          <w:spacing w:val="-6"/>
        </w:rPr>
        <w:t>δαπανών</w:t>
      </w:r>
      <w:r>
        <w:rPr>
          <w:spacing w:val="-10"/>
        </w:rPr>
        <w:t> </w:t>
      </w:r>
      <w:r>
        <w:rPr>
          <w:spacing w:val="-6"/>
        </w:rPr>
        <w:t>Προσωπικού</w:t>
      </w:r>
      <w:r>
        <w:rPr>
          <w:spacing w:val="-9"/>
        </w:rPr>
        <w:t> </w:t>
      </w:r>
      <w:r>
        <w:rPr>
          <w:spacing w:val="-6"/>
        </w:rPr>
        <w:t>(+8,5%</w:t>
      </w:r>
      <w:r>
        <w:rPr>
          <w:spacing w:val="-10"/>
        </w:rPr>
        <w:t> </w:t>
      </w:r>
      <w:r>
        <w:rPr>
          <w:spacing w:val="-6"/>
        </w:rPr>
        <w:t>σε</w:t>
      </w:r>
      <w:r>
        <w:rPr>
          <w:spacing w:val="-13"/>
        </w:rPr>
        <w:t> </w:t>
      </w:r>
      <w:r>
        <w:rPr>
          <w:spacing w:val="-6"/>
        </w:rPr>
        <w:t>τριμηνιαία</w:t>
      </w:r>
      <w:r>
        <w:rPr>
          <w:spacing w:val="-10"/>
        </w:rPr>
        <w:t> </w:t>
      </w:r>
      <w:r>
        <w:rPr>
          <w:spacing w:val="-6"/>
        </w:rPr>
        <w:t>βάση),</w:t>
      </w:r>
      <w:r>
        <w:rPr>
          <w:spacing w:val="-10"/>
        </w:rPr>
        <w:t> </w:t>
      </w:r>
      <w:r>
        <w:rPr>
          <w:spacing w:val="-6"/>
        </w:rPr>
        <w:t>αντανακλώντας κυρίως</w:t>
      </w:r>
      <w:r>
        <w:rPr>
          <w:spacing w:val="-12"/>
        </w:rPr>
        <w:t> </w:t>
      </w:r>
      <w:r>
        <w:rPr>
          <w:spacing w:val="-6"/>
        </w:rPr>
        <w:t>την</w:t>
      </w:r>
      <w:r>
        <w:rPr>
          <w:spacing w:val="-12"/>
        </w:rPr>
        <w:t> </w:t>
      </w:r>
      <w:r>
        <w:rPr>
          <w:spacing w:val="-6"/>
        </w:rPr>
        <w:t>αυξημένη</w:t>
      </w:r>
      <w:r>
        <w:rPr>
          <w:spacing w:val="-12"/>
        </w:rPr>
        <w:t> </w:t>
      </w:r>
      <w:r>
        <w:rPr>
          <w:spacing w:val="-6"/>
        </w:rPr>
        <w:t>πρόβλεψη</w:t>
      </w:r>
      <w:r>
        <w:rPr>
          <w:spacing w:val="-11"/>
        </w:rPr>
        <w:t> </w:t>
      </w:r>
      <w:r>
        <w:rPr>
          <w:spacing w:val="-6"/>
        </w:rPr>
        <w:t>για</w:t>
      </w:r>
      <w:r>
        <w:rPr>
          <w:spacing w:val="-11"/>
        </w:rPr>
        <w:t> </w:t>
      </w:r>
      <w:r>
        <w:rPr>
          <w:spacing w:val="-6"/>
        </w:rPr>
        <w:t>μεταβλητές</w:t>
      </w:r>
      <w:r>
        <w:rPr>
          <w:spacing w:val="-11"/>
        </w:rPr>
        <w:t> </w:t>
      </w:r>
      <w:r>
        <w:rPr>
          <w:spacing w:val="-6"/>
        </w:rPr>
        <w:t>αποδοχές</w:t>
      </w:r>
      <w:r>
        <w:rPr>
          <w:spacing w:val="-13"/>
        </w:rPr>
        <w:t> </w:t>
      </w:r>
      <w:r>
        <w:rPr>
          <w:spacing w:val="-6"/>
        </w:rPr>
        <w:t>(bonus)</w:t>
      </w:r>
      <w:r>
        <w:rPr>
          <w:spacing w:val="-14"/>
        </w:rPr>
        <w:t> </w:t>
      </w:r>
      <w:r>
        <w:rPr>
          <w:spacing w:val="-6"/>
        </w:rPr>
        <w:t>καθώς</w:t>
      </w:r>
      <w:r>
        <w:rPr>
          <w:spacing w:val="-10"/>
        </w:rPr>
        <w:t> </w:t>
      </w:r>
      <w:r>
        <w:rPr>
          <w:spacing w:val="-6"/>
        </w:rPr>
        <w:t>και</w:t>
      </w:r>
      <w:r>
        <w:rPr>
          <w:spacing w:val="-11"/>
        </w:rPr>
        <w:t> </w:t>
      </w:r>
      <w:r>
        <w:rPr>
          <w:spacing w:val="-6"/>
        </w:rPr>
        <w:t>των</w:t>
      </w:r>
      <w:r>
        <w:rPr>
          <w:spacing w:val="-12"/>
        </w:rPr>
        <w:t> </w:t>
      </w:r>
      <w:r>
        <w:rPr>
          <w:spacing w:val="-6"/>
        </w:rPr>
        <w:t>υψηλότερων</w:t>
      </w:r>
      <w:r>
        <w:rPr>
          <w:spacing w:val="-12"/>
        </w:rPr>
        <w:t> </w:t>
      </w:r>
      <w:r>
        <w:rPr>
          <w:spacing w:val="-6"/>
        </w:rPr>
        <w:t>αποσβέσεων</w:t>
      </w:r>
      <w:r>
        <w:rPr>
          <w:spacing w:val="-12"/>
        </w:rPr>
        <w:t> </w:t>
      </w:r>
      <w:r>
        <w:rPr>
          <w:spacing w:val="-6"/>
        </w:rPr>
        <w:t>(+7,8%</w:t>
      </w:r>
      <w:r>
        <w:rPr>
          <w:spacing w:val="-13"/>
        </w:rPr>
        <w:t> </w:t>
      </w:r>
      <w:r>
        <w:rPr>
          <w:spacing w:val="-6"/>
        </w:rPr>
        <w:t>σε</w:t>
      </w:r>
    </w:p>
    <w:p>
      <w:pPr>
        <w:pStyle w:val="BodyText"/>
        <w:ind w:left="566"/>
      </w:pPr>
      <w:r>
        <w:rPr>
          <w:w w:val="90"/>
        </w:rPr>
        <w:t>τριμηνιαία βάση). Κατά το α’ εξάμηνο του 2026, τα επαναλαμβανόμενα έξοδα αυξήθηκαν κατά +13,6%, κυρίως λόγω των </w:t>
      </w:r>
      <w:r>
        <w:rPr>
          <w:spacing w:val="-4"/>
        </w:rPr>
        <w:t>υψηλότερων</w:t>
      </w:r>
      <w:r>
        <w:rPr>
          <w:spacing w:val="-14"/>
        </w:rPr>
        <w:t> </w:t>
      </w:r>
      <w:r>
        <w:rPr>
          <w:spacing w:val="-4"/>
        </w:rPr>
        <w:t>αμοιβών</w:t>
      </w:r>
      <w:r>
        <w:rPr>
          <w:spacing w:val="-12"/>
        </w:rPr>
        <w:t> </w:t>
      </w:r>
      <w:r>
        <w:rPr>
          <w:spacing w:val="-4"/>
        </w:rPr>
        <w:t>προσωπικού,</w:t>
      </w:r>
      <w:r>
        <w:rPr>
          <w:spacing w:val="-13"/>
        </w:rPr>
        <w:t> </w:t>
      </w:r>
      <w:r>
        <w:rPr>
          <w:spacing w:val="-4"/>
        </w:rPr>
        <w:t>καθώς</w:t>
      </w:r>
      <w:r>
        <w:rPr>
          <w:spacing w:val="-13"/>
        </w:rPr>
        <w:t> </w:t>
      </w:r>
      <w:r>
        <w:rPr>
          <w:spacing w:val="-4"/>
        </w:rPr>
        <w:t>και</w:t>
      </w:r>
      <w:r>
        <w:rPr>
          <w:spacing w:val="-15"/>
        </w:rPr>
        <w:t> </w:t>
      </w:r>
      <w:r>
        <w:rPr>
          <w:spacing w:val="-4"/>
        </w:rPr>
        <w:t>των</w:t>
      </w:r>
      <w:r>
        <w:rPr>
          <w:spacing w:val="-14"/>
        </w:rPr>
        <w:t> </w:t>
      </w:r>
      <w:r>
        <w:rPr>
          <w:spacing w:val="-4"/>
        </w:rPr>
        <w:t>αυξημένων</w:t>
      </w:r>
      <w:r>
        <w:rPr>
          <w:spacing w:val="-14"/>
        </w:rPr>
        <w:t> </w:t>
      </w:r>
      <w:r>
        <w:rPr>
          <w:spacing w:val="-4"/>
        </w:rPr>
        <w:t>γενικών</w:t>
      </w:r>
      <w:r>
        <w:rPr>
          <w:spacing w:val="-12"/>
        </w:rPr>
        <w:t> </w:t>
      </w:r>
      <w:r>
        <w:rPr>
          <w:spacing w:val="-4"/>
        </w:rPr>
        <w:t>εξόδων</w:t>
      </w:r>
      <w:r>
        <w:rPr>
          <w:spacing w:val="-14"/>
        </w:rPr>
        <w:t> </w:t>
      </w:r>
      <w:r>
        <w:rPr>
          <w:spacing w:val="-4"/>
        </w:rPr>
        <w:t>και</w:t>
      </w:r>
      <w:r>
        <w:rPr>
          <w:spacing w:val="-12"/>
        </w:rPr>
        <w:t> </w:t>
      </w:r>
      <w:r>
        <w:rPr>
          <w:spacing w:val="-4"/>
        </w:rPr>
        <w:t>αποσβέσεων.</w:t>
      </w:r>
    </w:p>
    <w:p>
      <w:pPr>
        <w:pStyle w:val="BodyText"/>
        <w:spacing w:before="151"/>
      </w:pPr>
    </w:p>
    <w:p>
      <w:pPr>
        <w:spacing w:before="1"/>
        <w:ind w:left="566" w:right="883" w:firstLine="0"/>
        <w:jc w:val="left"/>
        <w:rPr>
          <w:sz w:val="18"/>
        </w:rPr>
      </w:pPr>
      <w:r>
        <w:rPr>
          <w:spacing w:val="-6"/>
          <w:sz w:val="18"/>
        </w:rPr>
        <w:t>Το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β’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τρίμηνο,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τα</w:t>
      </w:r>
      <w:r>
        <w:rPr>
          <w:spacing w:val="-13"/>
          <w:sz w:val="18"/>
        </w:rPr>
        <w:t> </w:t>
      </w:r>
      <w:r>
        <w:rPr>
          <w:rFonts w:ascii="Tahoma" w:hAnsi="Tahoma"/>
          <w:b/>
          <w:spacing w:val="-6"/>
          <w:sz w:val="18"/>
        </w:rPr>
        <w:t>Συνολικά</w:t>
      </w:r>
      <w:r>
        <w:rPr>
          <w:rFonts w:ascii="Tahoma" w:hAnsi="Tahoma"/>
          <w:b/>
          <w:spacing w:val="-8"/>
          <w:sz w:val="18"/>
        </w:rPr>
        <w:t> </w:t>
      </w:r>
      <w:r>
        <w:rPr>
          <w:rFonts w:ascii="Tahoma" w:hAnsi="Tahoma"/>
          <w:b/>
          <w:spacing w:val="-6"/>
          <w:sz w:val="18"/>
        </w:rPr>
        <w:t>Λειτουργικά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6"/>
          <w:sz w:val="18"/>
        </w:rPr>
        <w:t>Έξοδα</w:t>
      </w:r>
      <w:r>
        <w:rPr>
          <w:rFonts w:ascii="Tahoma" w:hAnsi="Tahoma"/>
          <w:b/>
          <w:spacing w:val="-7"/>
          <w:sz w:val="18"/>
        </w:rPr>
        <w:t> </w:t>
      </w:r>
      <w:r>
        <w:rPr>
          <w:spacing w:val="-6"/>
          <w:sz w:val="18"/>
        </w:rPr>
        <w:t>ανήλθαν</w:t>
      </w:r>
      <w:r>
        <w:rPr>
          <w:spacing w:val="-14"/>
          <w:sz w:val="18"/>
        </w:rPr>
        <w:t> </w:t>
      </w:r>
      <w:r>
        <w:rPr>
          <w:spacing w:val="-6"/>
          <w:sz w:val="18"/>
        </w:rPr>
        <w:t>σε</w:t>
      </w:r>
      <w:r>
        <w:rPr>
          <w:spacing w:val="-14"/>
          <w:sz w:val="18"/>
        </w:rPr>
        <w:t> </w:t>
      </w:r>
      <w:r>
        <w:rPr>
          <w:spacing w:val="-6"/>
          <w:sz w:val="18"/>
        </w:rPr>
        <w:t>€240,9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εκατ.,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συμπεριλαμβανομένων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€1,4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εκατ.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κόστους </w:t>
      </w:r>
      <w:r>
        <w:rPr>
          <w:sz w:val="18"/>
        </w:rPr>
        <w:t>ενσωμάτωσης</w:t>
      </w:r>
      <w:r>
        <w:rPr>
          <w:spacing w:val="-3"/>
          <w:sz w:val="18"/>
        </w:rPr>
        <w:t> </w:t>
      </w:r>
      <w:r>
        <w:rPr>
          <w:sz w:val="18"/>
        </w:rPr>
        <w:t>στην</w:t>
      </w:r>
      <w:r>
        <w:rPr>
          <w:spacing w:val="-5"/>
          <w:sz w:val="18"/>
        </w:rPr>
        <w:t> </w:t>
      </w:r>
      <w:r>
        <w:rPr>
          <w:sz w:val="18"/>
        </w:rPr>
        <w:t>Κύπρο.</w:t>
      </w:r>
    </w:p>
    <w:p>
      <w:pPr>
        <w:pStyle w:val="BodyText"/>
        <w:spacing w:before="151"/>
      </w:pPr>
    </w:p>
    <w:p>
      <w:pPr>
        <w:spacing w:before="0"/>
        <w:ind w:left="566" w:right="0" w:firstLine="0"/>
        <w:jc w:val="left"/>
        <w:rPr>
          <w:sz w:val="20"/>
        </w:rPr>
      </w:pPr>
      <w:r>
        <w:rPr>
          <w:color w:val="E2872E"/>
          <w:w w:val="90"/>
          <w:sz w:val="20"/>
        </w:rPr>
        <w:t>Το</w:t>
      </w:r>
      <w:r>
        <w:rPr>
          <w:color w:val="E2872E"/>
          <w:spacing w:val="13"/>
          <w:sz w:val="20"/>
        </w:rPr>
        <w:t> </w:t>
      </w:r>
      <w:r>
        <w:rPr>
          <w:color w:val="E2872E"/>
          <w:w w:val="90"/>
          <w:sz w:val="20"/>
        </w:rPr>
        <w:t>Κόστος</w:t>
      </w:r>
      <w:r>
        <w:rPr>
          <w:color w:val="E2872E"/>
          <w:spacing w:val="13"/>
          <w:sz w:val="20"/>
        </w:rPr>
        <w:t> </w:t>
      </w:r>
      <w:r>
        <w:rPr>
          <w:color w:val="E2872E"/>
          <w:w w:val="90"/>
          <w:sz w:val="20"/>
        </w:rPr>
        <w:t>Πιστωτικού</w:t>
      </w:r>
      <w:r>
        <w:rPr>
          <w:color w:val="E2872E"/>
          <w:spacing w:val="15"/>
          <w:sz w:val="20"/>
        </w:rPr>
        <w:t> </w:t>
      </w:r>
      <w:r>
        <w:rPr>
          <w:color w:val="E2872E"/>
          <w:w w:val="90"/>
          <w:sz w:val="20"/>
        </w:rPr>
        <w:t>Κινδύνου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ανήλθε</w:t>
      </w:r>
      <w:r>
        <w:rPr>
          <w:color w:val="E2872E"/>
          <w:spacing w:val="12"/>
          <w:sz w:val="20"/>
        </w:rPr>
        <w:t> </w:t>
      </w:r>
      <w:r>
        <w:rPr>
          <w:color w:val="E2872E"/>
          <w:w w:val="90"/>
          <w:sz w:val="20"/>
        </w:rPr>
        <w:t>σε</w:t>
      </w:r>
      <w:r>
        <w:rPr>
          <w:color w:val="E2872E"/>
          <w:spacing w:val="13"/>
          <w:sz w:val="20"/>
        </w:rPr>
        <w:t> </w:t>
      </w:r>
      <w:r>
        <w:rPr>
          <w:color w:val="E2872E"/>
          <w:w w:val="90"/>
          <w:sz w:val="20"/>
        </w:rPr>
        <w:t>39</w:t>
      </w:r>
      <w:r>
        <w:rPr>
          <w:color w:val="E2872E"/>
          <w:spacing w:val="11"/>
          <w:sz w:val="20"/>
        </w:rPr>
        <w:t> </w:t>
      </w:r>
      <w:r>
        <w:rPr>
          <w:color w:val="E2872E"/>
          <w:w w:val="90"/>
          <w:sz w:val="20"/>
        </w:rPr>
        <w:t>μονάδες</w:t>
      </w:r>
      <w:r>
        <w:rPr>
          <w:color w:val="E2872E"/>
          <w:spacing w:val="13"/>
          <w:sz w:val="20"/>
        </w:rPr>
        <w:t> </w:t>
      </w:r>
      <w:r>
        <w:rPr>
          <w:color w:val="E2872E"/>
          <w:spacing w:val="-2"/>
          <w:w w:val="90"/>
          <w:sz w:val="20"/>
        </w:rPr>
        <w:t>βάσης</w:t>
      </w:r>
    </w:p>
    <w:p>
      <w:pPr>
        <w:spacing w:before="113"/>
        <w:ind w:left="566" w:right="582" w:firstLine="0"/>
        <w:jc w:val="left"/>
        <w:rPr>
          <w:sz w:val="18"/>
        </w:rPr>
      </w:pPr>
      <w:r>
        <w:rPr>
          <w:spacing w:val="-4"/>
          <w:sz w:val="18"/>
        </w:rPr>
        <w:t>Σε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οργανικό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επίπεδο,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οι</w:t>
      </w:r>
      <w:r>
        <w:rPr>
          <w:spacing w:val="-12"/>
          <w:sz w:val="18"/>
        </w:rPr>
        <w:t> </w:t>
      </w:r>
      <w:r>
        <w:rPr>
          <w:rFonts w:ascii="Tahoma" w:hAnsi="Tahoma"/>
          <w:b/>
          <w:spacing w:val="-4"/>
          <w:sz w:val="18"/>
        </w:rPr>
        <w:t>Ζημίες</w:t>
      </w:r>
      <w:r>
        <w:rPr>
          <w:rFonts w:ascii="Tahoma" w:hAnsi="Tahoma"/>
          <w:b/>
          <w:spacing w:val="-10"/>
          <w:sz w:val="18"/>
        </w:rPr>
        <w:t> </w:t>
      </w:r>
      <w:r>
        <w:rPr>
          <w:rFonts w:ascii="Tahoma" w:hAnsi="Tahoma"/>
          <w:b/>
          <w:spacing w:val="-4"/>
          <w:sz w:val="18"/>
        </w:rPr>
        <w:t>Απομείωσης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pacing w:val="-4"/>
          <w:sz w:val="18"/>
        </w:rPr>
        <w:t>για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pacing w:val="-4"/>
          <w:sz w:val="18"/>
        </w:rPr>
        <w:t>την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pacing w:val="-4"/>
          <w:sz w:val="18"/>
        </w:rPr>
        <w:t>κάλυψη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pacing w:val="-4"/>
          <w:sz w:val="18"/>
        </w:rPr>
        <w:t>πιστωτικού</w:t>
      </w:r>
      <w:r>
        <w:rPr>
          <w:rFonts w:ascii="Tahoma" w:hAnsi="Tahoma"/>
          <w:b/>
          <w:spacing w:val="-10"/>
          <w:sz w:val="18"/>
        </w:rPr>
        <w:t> </w:t>
      </w:r>
      <w:r>
        <w:rPr>
          <w:rFonts w:ascii="Tahoma" w:hAnsi="Tahoma"/>
          <w:b/>
          <w:spacing w:val="-4"/>
          <w:sz w:val="18"/>
        </w:rPr>
        <w:t>κινδύνου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pacing w:val="-4"/>
          <w:sz w:val="18"/>
        </w:rPr>
        <w:t>δανείων</w:t>
      </w:r>
      <w:r>
        <w:rPr>
          <w:rFonts w:ascii="Tahoma" w:hAnsi="Tahoma"/>
          <w:b/>
          <w:spacing w:val="-9"/>
          <w:sz w:val="18"/>
        </w:rPr>
        <w:t> </w:t>
      </w:r>
      <w:r>
        <w:rPr>
          <w:spacing w:val="-4"/>
          <w:sz w:val="18"/>
        </w:rPr>
        <w:t>ανήλθαν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σε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€28,9</w:t>
      </w:r>
      <w:r>
        <w:rPr>
          <w:spacing w:val="-12"/>
          <w:sz w:val="18"/>
        </w:rPr>
        <w:t> </w:t>
      </w:r>
      <w:r>
        <w:rPr>
          <w:spacing w:val="-4"/>
          <w:sz w:val="18"/>
        </w:rPr>
        <w:t>εκατ.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ή 26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μονάδες</w:t>
      </w:r>
      <w:r>
        <w:rPr>
          <w:spacing w:val="-12"/>
          <w:sz w:val="18"/>
        </w:rPr>
        <w:t> </w:t>
      </w:r>
      <w:r>
        <w:rPr>
          <w:spacing w:val="-4"/>
          <w:sz w:val="18"/>
        </w:rPr>
        <w:t>βάσης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το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β’</w:t>
      </w:r>
      <w:r>
        <w:rPr>
          <w:spacing w:val="-12"/>
          <w:sz w:val="18"/>
        </w:rPr>
        <w:t> </w:t>
      </w:r>
      <w:r>
        <w:rPr>
          <w:spacing w:val="-4"/>
          <w:sz w:val="18"/>
        </w:rPr>
        <w:t>τρίμηνο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2026,</w:t>
      </w:r>
      <w:r>
        <w:rPr>
          <w:spacing w:val="-12"/>
          <w:sz w:val="18"/>
        </w:rPr>
        <w:t> </w:t>
      </w:r>
      <w:r>
        <w:rPr>
          <w:spacing w:val="-4"/>
          <w:sz w:val="18"/>
        </w:rPr>
        <w:t>έναντι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€31,9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εκατ.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το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προηγούμενο</w:t>
      </w:r>
      <w:r>
        <w:rPr>
          <w:spacing w:val="-12"/>
          <w:sz w:val="18"/>
        </w:rPr>
        <w:t> </w:t>
      </w:r>
      <w:r>
        <w:rPr>
          <w:spacing w:val="-4"/>
          <w:sz w:val="18"/>
        </w:rPr>
        <w:t>τρίμηνο.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Τα</w:t>
      </w:r>
      <w:r>
        <w:rPr>
          <w:spacing w:val="-13"/>
          <w:sz w:val="18"/>
        </w:rPr>
        <w:t> </w:t>
      </w:r>
      <w:r>
        <w:rPr>
          <w:rFonts w:ascii="Tahoma" w:hAnsi="Tahoma"/>
          <w:b/>
          <w:spacing w:val="-4"/>
          <w:sz w:val="18"/>
        </w:rPr>
        <w:t>έξοδα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pacing w:val="-4"/>
          <w:sz w:val="18"/>
        </w:rPr>
        <w:t>διαχείρισης</w:t>
      </w:r>
      <w:r>
        <w:rPr>
          <w:rFonts w:ascii="Tahoma" w:hAnsi="Tahoma"/>
          <w:b/>
          <w:sz w:val="18"/>
        </w:rPr>
        <w:t> </w:t>
      </w:r>
      <w:r>
        <w:rPr>
          <w:spacing w:val="-4"/>
          <w:sz w:val="18"/>
        </w:rPr>
        <w:t>δανείων</w:t>
      </w:r>
    </w:p>
    <w:p>
      <w:pPr>
        <w:spacing w:before="0"/>
        <w:ind w:left="566" w:right="749" w:firstLine="0"/>
        <w:jc w:val="left"/>
        <w:rPr>
          <w:sz w:val="18"/>
        </w:rPr>
      </w:pPr>
      <w:r>
        <w:rPr>
          <w:spacing w:val="-6"/>
          <w:sz w:val="18"/>
        </w:rPr>
        <w:t>ανήλθαν</w:t>
      </w:r>
      <w:r>
        <w:rPr>
          <w:spacing w:val="-14"/>
          <w:sz w:val="18"/>
        </w:rPr>
        <w:t> </w:t>
      </w:r>
      <w:r>
        <w:rPr>
          <w:spacing w:val="-6"/>
          <w:sz w:val="18"/>
        </w:rPr>
        <w:t>σε</w:t>
      </w:r>
      <w:r>
        <w:rPr>
          <w:spacing w:val="-14"/>
          <w:sz w:val="18"/>
        </w:rPr>
        <w:t> </w:t>
      </w:r>
      <w:r>
        <w:rPr>
          <w:spacing w:val="-6"/>
          <w:sz w:val="18"/>
        </w:rPr>
        <w:t>€8,4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εκατ.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έναντι</w:t>
      </w:r>
      <w:r>
        <w:rPr>
          <w:spacing w:val="-15"/>
          <w:sz w:val="18"/>
        </w:rPr>
        <w:t> </w:t>
      </w:r>
      <w:r>
        <w:rPr>
          <w:spacing w:val="-6"/>
          <w:sz w:val="18"/>
        </w:rPr>
        <w:t>€7,7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εκατ.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το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προηγούμενο</w:t>
      </w:r>
      <w:r>
        <w:rPr>
          <w:spacing w:val="-16"/>
          <w:sz w:val="18"/>
        </w:rPr>
        <w:t> </w:t>
      </w:r>
      <w:r>
        <w:rPr>
          <w:spacing w:val="-6"/>
          <w:sz w:val="18"/>
        </w:rPr>
        <w:t>τρίμηνο,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ενώ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τα</w:t>
      </w:r>
      <w:r>
        <w:rPr>
          <w:spacing w:val="-15"/>
          <w:sz w:val="18"/>
        </w:rPr>
        <w:t> </w:t>
      </w:r>
      <w:r>
        <w:rPr>
          <w:rFonts w:ascii="Tahoma" w:hAnsi="Tahoma"/>
          <w:b/>
          <w:spacing w:val="-6"/>
          <w:sz w:val="18"/>
        </w:rPr>
        <w:t>έξοδα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pacing w:val="-6"/>
          <w:sz w:val="18"/>
        </w:rPr>
        <w:t>που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pacing w:val="-6"/>
          <w:sz w:val="18"/>
        </w:rPr>
        <w:t>σχετίζονται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spacing w:val="-6"/>
          <w:sz w:val="18"/>
        </w:rPr>
        <w:t>με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pacing w:val="-6"/>
          <w:sz w:val="18"/>
        </w:rPr>
        <w:t>συναλλαγές συνθετικής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6"/>
          <w:sz w:val="18"/>
        </w:rPr>
        <w:t>τιτλοποίησης</w:t>
      </w:r>
      <w:r>
        <w:rPr>
          <w:rFonts w:ascii="Tahoma" w:hAnsi="Tahoma"/>
          <w:b/>
          <w:sz w:val="18"/>
        </w:rPr>
        <w:t> </w:t>
      </w:r>
      <w:r>
        <w:rPr>
          <w:spacing w:val="-6"/>
          <w:sz w:val="18"/>
        </w:rPr>
        <w:t>ανήλθαν</w:t>
      </w:r>
      <w:r>
        <w:rPr>
          <w:spacing w:val="-9"/>
          <w:sz w:val="18"/>
        </w:rPr>
        <w:t> </w:t>
      </w:r>
      <w:r>
        <w:rPr>
          <w:spacing w:val="-6"/>
          <w:sz w:val="18"/>
        </w:rPr>
        <w:t>σε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€6,9 εκατ.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από</w:t>
      </w:r>
      <w:r>
        <w:rPr>
          <w:spacing w:val="-9"/>
          <w:sz w:val="18"/>
        </w:rPr>
        <w:t> </w:t>
      </w:r>
      <w:r>
        <w:rPr>
          <w:spacing w:val="-6"/>
          <w:sz w:val="18"/>
        </w:rPr>
        <w:t>€9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εκατ.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το α’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τρίμηνο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2026.</w:t>
      </w:r>
    </w:p>
    <w:p>
      <w:pPr>
        <w:pStyle w:val="BodyText"/>
        <w:spacing w:before="112"/>
        <w:ind w:left="566" w:right="582"/>
      </w:pPr>
      <w:r>
        <w:rPr>
          <w:spacing w:val="-6"/>
        </w:rPr>
        <w:t>Μη</w:t>
      </w:r>
      <w:r>
        <w:rPr>
          <w:spacing w:val="-7"/>
        </w:rPr>
        <w:t> </w:t>
      </w:r>
      <w:r>
        <w:rPr>
          <w:spacing w:val="-6"/>
        </w:rPr>
        <w:t>συμπεριλαμβανομένων</w:t>
      </w:r>
      <w:r>
        <w:rPr>
          <w:spacing w:val="-8"/>
        </w:rPr>
        <w:t> </w:t>
      </w:r>
      <w:r>
        <w:rPr>
          <w:spacing w:val="-6"/>
        </w:rPr>
        <w:t>των</w:t>
      </w:r>
      <w:r>
        <w:rPr>
          <w:spacing w:val="-9"/>
        </w:rPr>
        <w:t> </w:t>
      </w:r>
      <w:r>
        <w:rPr>
          <w:spacing w:val="-6"/>
        </w:rPr>
        <w:t>Zημιών</w:t>
      </w:r>
      <w:r>
        <w:rPr>
          <w:spacing w:val="-8"/>
        </w:rPr>
        <w:t> </w:t>
      </w:r>
      <w:r>
        <w:rPr>
          <w:spacing w:val="-6"/>
        </w:rPr>
        <w:t>Απομείωσης</w:t>
      </w:r>
      <w:r>
        <w:rPr>
          <w:spacing w:val="-7"/>
        </w:rPr>
        <w:t> </w:t>
      </w:r>
      <w:r>
        <w:rPr>
          <w:spacing w:val="-6"/>
        </w:rPr>
        <w:t>σχετιζόμενων</w:t>
      </w:r>
      <w:r>
        <w:rPr>
          <w:spacing w:val="-9"/>
        </w:rPr>
        <w:t> </w:t>
      </w:r>
      <w:r>
        <w:rPr>
          <w:spacing w:val="-6"/>
        </w:rPr>
        <w:t>με</w:t>
      </w:r>
      <w:r>
        <w:rPr>
          <w:spacing w:val="-7"/>
        </w:rPr>
        <w:t> </w:t>
      </w:r>
      <w:r>
        <w:rPr>
          <w:spacing w:val="-6"/>
        </w:rPr>
        <w:t>συναλλαγές</w:t>
      </w:r>
      <w:r>
        <w:rPr>
          <w:spacing w:val="-8"/>
        </w:rPr>
        <w:t> </w:t>
      </w:r>
      <w:r>
        <w:rPr>
          <w:spacing w:val="-6"/>
        </w:rPr>
        <w:t>χαρτοφυλακίων</w:t>
      </w:r>
      <w:r>
        <w:rPr>
          <w:spacing w:val="-9"/>
        </w:rPr>
        <w:t> </w:t>
      </w:r>
      <w:r>
        <w:rPr>
          <w:spacing w:val="-6"/>
        </w:rPr>
        <w:t>ΜΕΑ</w:t>
      </w:r>
      <w:r>
        <w:rPr>
          <w:spacing w:val="-7"/>
        </w:rPr>
        <w:t> </w:t>
      </w:r>
      <w:r>
        <w:rPr>
          <w:spacing w:val="-6"/>
        </w:rPr>
        <w:t>καθώς</w:t>
      </w:r>
      <w:r>
        <w:rPr>
          <w:spacing w:val="-8"/>
        </w:rPr>
        <w:t> </w:t>
      </w:r>
      <w:r>
        <w:rPr>
          <w:spacing w:val="-6"/>
        </w:rPr>
        <w:t>και</w:t>
      </w:r>
      <w:r>
        <w:rPr>
          <w:spacing w:val="-10"/>
        </w:rPr>
        <w:t> </w:t>
      </w:r>
      <w:r>
        <w:rPr>
          <w:spacing w:val="-6"/>
        </w:rPr>
        <w:t>των </w:t>
      </w:r>
      <w:r>
        <w:rPr>
          <w:spacing w:val="-4"/>
        </w:rPr>
        <w:t>λοιπών</w:t>
      </w:r>
      <w:r>
        <w:rPr>
          <w:spacing w:val="-10"/>
        </w:rPr>
        <w:t> </w:t>
      </w:r>
      <w:r>
        <w:rPr>
          <w:spacing w:val="-4"/>
        </w:rPr>
        <w:t>αναπροσαρμογών,</w:t>
      </w:r>
      <w:r>
        <w:rPr>
          <w:spacing w:val="-8"/>
        </w:rPr>
        <w:t> </w:t>
      </w:r>
      <w:r>
        <w:rPr>
          <w:spacing w:val="-4"/>
        </w:rPr>
        <w:t>το</w:t>
      </w:r>
      <w:r>
        <w:rPr>
          <w:spacing w:val="-8"/>
        </w:rPr>
        <w:t> </w:t>
      </w:r>
      <w:r>
        <w:rPr>
          <w:rFonts w:ascii="Tahoma" w:hAnsi="Tahoma"/>
          <w:b/>
          <w:spacing w:val="-4"/>
        </w:rPr>
        <w:t>Κόστος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spacing w:val="-4"/>
        </w:rPr>
        <w:t>Πιστωτικού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spacing w:val="-4"/>
        </w:rPr>
        <w:t>Κινδύνου </w:t>
      </w:r>
      <w:r>
        <w:rPr>
          <w:spacing w:val="-4"/>
        </w:rPr>
        <w:t>ως</w:t>
      </w:r>
      <w:r>
        <w:rPr>
          <w:spacing w:val="-8"/>
        </w:rPr>
        <w:t> </w:t>
      </w:r>
      <w:r>
        <w:rPr>
          <w:spacing w:val="-4"/>
        </w:rPr>
        <w:t>ποσοστό</w:t>
      </w:r>
      <w:r>
        <w:rPr>
          <w:spacing w:val="-8"/>
        </w:rPr>
        <w:t> </w:t>
      </w:r>
      <w:r>
        <w:rPr>
          <w:spacing w:val="-4"/>
        </w:rPr>
        <w:t>των</w:t>
      </w:r>
      <w:r>
        <w:rPr>
          <w:spacing w:val="-10"/>
        </w:rPr>
        <w:t> </w:t>
      </w:r>
      <w:r>
        <w:rPr>
          <w:spacing w:val="-4"/>
        </w:rPr>
        <w:t>χορηγήσεων</w:t>
      </w:r>
      <w:r>
        <w:rPr>
          <w:spacing w:val="-10"/>
        </w:rPr>
        <w:t> </w:t>
      </w:r>
      <w:r>
        <w:rPr>
          <w:spacing w:val="-4"/>
        </w:rPr>
        <w:t>μετά</w:t>
      </w:r>
      <w:r>
        <w:rPr>
          <w:spacing w:val="-8"/>
        </w:rPr>
        <w:t> </w:t>
      </w:r>
      <w:r>
        <w:rPr>
          <w:spacing w:val="-4"/>
        </w:rPr>
        <w:t>από</w:t>
      </w:r>
      <w:r>
        <w:rPr>
          <w:spacing w:val="-10"/>
        </w:rPr>
        <w:t> </w:t>
      </w:r>
      <w:r>
        <w:rPr>
          <w:spacing w:val="-4"/>
        </w:rPr>
        <w:t>προβλέψεις</w:t>
      </w:r>
    </w:p>
    <w:p>
      <w:pPr>
        <w:pStyle w:val="BodyText"/>
        <w:ind w:left="566" w:right="749"/>
      </w:pPr>
      <w:r>
        <w:rPr>
          <w:spacing w:val="-6"/>
        </w:rPr>
        <w:t>διαμορφώθηκε</w:t>
      </w:r>
      <w:r>
        <w:rPr>
          <w:spacing w:val="-7"/>
        </w:rPr>
        <w:t> </w:t>
      </w:r>
      <w:r>
        <w:rPr>
          <w:spacing w:val="-6"/>
        </w:rPr>
        <w:t>σε</w:t>
      </w:r>
      <w:r>
        <w:rPr>
          <w:spacing w:val="-8"/>
        </w:rPr>
        <w:t> </w:t>
      </w:r>
      <w:r>
        <w:rPr>
          <w:spacing w:val="-6"/>
        </w:rPr>
        <w:t>39</w:t>
      </w:r>
      <w:r>
        <w:rPr>
          <w:spacing w:val="-8"/>
        </w:rPr>
        <w:t> </w:t>
      </w:r>
      <w:r>
        <w:rPr>
          <w:spacing w:val="-6"/>
        </w:rPr>
        <w:t>μ.β.</w:t>
      </w:r>
      <w:r>
        <w:rPr>
          <w:spacing w:val="-8"/>
        </w:rPr>
        <w:t> </w:t>
      </w:r>
      <w:r>
        <w:rPr>
          <w:spacing w:val="-6"/>
        </w:rPr>
        <w:t>το</w:t>
      </w:r>
      <w:r>
        <w:rPr>
          <w:spacing w:val="-10"/>
        </w:rPr>
        <w:t> </w:t>
      </w:r>
      <w:r>
        <w:rPr>
          <w:spacing w:val="-6"/>
        </w:rPr>
        <w:t>β’</w:t>
      </w:r>
      <w:r>
        <w:rPr>
          <w:spacing w:val="-8"/>
        </w:rPr>
        <w:t> </w:t>
      </w:r>
      <w:r>
        <w:rPr>
          <w:spacing w:val="-6"/>
        </w:rPr>
        <w:t>τρίμηνο</w:t>
      </w:r>
      <w:r>
        <w:rPr>
          <w:spacing w:val="-7"/>
        </w:rPr>
        <w:t> </w:t>
      </w:r>
      <w:r>
        <w:rPr>
          <w:spacing w:val="-6"/>
        </w:rPr>
        <w:t>2026</w:t>
      </w:r>
      <w:r>
        <w:rPr>
          <w:spacing w:val="-10"/>
        </w:rPr>
        <w:t> </w:t>
      </w:r>
      <w:r>
        <w:rPr>
          <w:spacing w:val="-6"/>
        </w:rPr>
        <w:t>έναντι</w:t>
      </w:r>
      <w:r>
        <w:rPr>
          <w:spacing w:val="-10"/>
        </w:rPr>
        <w:t> </w:t>
      </w:r>
      <w:r>
        <w:rPr>
          <w:spacing w:val="-6"/>
        </w:rPr>
        <w:t>44</w:t>
      </w:r>
      <w:r>
        <w:rPr>
          <w:spacing w:val="-8"/>
        </w:rPr>
        <w:t> </w:t>
      </w:r>
      <w:r>
        <w:rPr>
          <w:spacing w:val="-6"/>
        </w:rPr>
        <w:t>μ.β.</w:t>
      </w:r>
      <w:r>
        <w:rPr>
          <w:spacing w:val="-8"/>
        </w:rPr>
        <w:t> </w:t>
      </w:r>
      <w:r>
        <w:rPr>
          <w:spacing w:val="-6"/>
        </w:rPr>
        <w:t>το</w:t>
      </w:r>
      <w:r>
        <w:rPr>
          <w:spacing w:val="-8"/>
        </w:rPr>
        <w:t> </w:t>
      </w:r>
      <w:r>
        <w:rPr>
          <w:spacing w:val="-6"/>
        </w:rPr>
        <w:t>προηγούμενο</w:t>
      </w:r>
      <w:r>
        <w:rPr>
          <w:spacing w:val="-9"/>
        </w:rPr>
        <w:t> </w:t>
      </w:r>
      <w:r>
        <w:rPr>
          <w:spacing w:val="-6"/>
        </w:rPr>
        <w:t>τρίμηνο</w:t>
      </w:r>
      <w:r>
        <w:rPr>
          <w:spacing w:val="-7"/>
        </w:rPr>
        <w:t> </w:t>
      </w:r>
      <w:r>
        <w:rPr>
          <w:spacing w:val="-6"/>
        </w:rPr>
        <w:t>(συμπεριλαμβανομένων</w:t>
      </w:r>
      <w:r>
        <w:rPr>
          <w:spacing w:val="-9"/>
        </w:rPr>
        <w:t> </w:t>
      </w:r>
      <w:r>
        <w:rPr>
          <w:spacing w:val="-6"/>
        </w:rPr>
        <w:t>των </w:t>
      </w:r>
      <w:r>
        <w:rPr>
          <w:w w:val="90"/>
        </w:rPr>
        <w:t>εξόδων διαχείρισης).</w:t>
      </w:r>
      <w:r>
        <w:rPr/>
        <w:t> </w:t>
      </w:r>
      <w:r>
        <w:rPr>
          <w:w w:val="90"/>
        </w:rPr>
        <w:t>Ενώ,</w:t>
      </w:r>
      <w:r>
        <w:rPr/>
        <w:t> </w:t>
      </w:r>
      <w:r>
        <w:rPr>
          <w:w w:val="90"/>
        </w:rPr>
        <w:t>λαμβάνοντας</w:t>
      </w:r>
      <w:r>
        <w:rPr/>
        <w:t> </w:t>
      </w:r>
      <w:r>
        <w:rPr>
          <w:w w:val="90"/>
        </w:rPr>
        <w:t>υπόψη</w:t>
      </w:r>
      <w:r>
        <w:rPr/>
        <w:t> </w:t>
      </w:r>
      <w:r>
        <w:rPr>
          <w:w w:val="90"/>
        </w:rPr>
        <w:t>την επίπτωση</w:t>
      </w:r>
      <w:r>
        <w:rPr/>
        <w:t> </w:t>
      </w:r>
      <w:r>
        <w:rPr>
          <w:w w:val="90"/>
        </w:rPr>
        <w:t>των</w:t>
      </w:r>
      <w:r>
        <w:rPr/>
        <w:t> </w:t>
      </w:r>
      <w:r>
        <w:rPr>
          <w:w w:val="90"/>
        </w:rPr>
        <w:t>συναλλαγών</w:t>
      </w:r>
      <w:r>
        <w:rPr/>
        <w:t> </w:t>
      </w:r>
      <w:r>
        <w:rPr>
          <w:w w:val="90"/>
        </w:rPr>
        <w:t>καθώς και</w:t>
      </w:r>
      <w:r>
        <w:rPr/>
        <w:t> </w:t>
      </w:r>
      <w:r>
        <w:rPr>
          <w:w w:val="90"/>
        </w:rPr>
        <w:t>λοιπών</w:t>
      </w:r>
      <w:r>
        <w:rPr/>
        <w:t> </w:t>
      </w:r>
      <w:r>
        <w:rPr>
          <w:w w:val="90"/>
        </w:rPr>
        <w:t>αναπροσαρμογών,</w:t>
      </w:r>
      <w:r>
        <w:rPr>
          <w:spacing w:val="40"/>
        </w:rPr>
        <w:t> </w:t>
      </w:r>
      <w:r>
        <w:rPr>
          <w:w w:val="90"/>
        </w:rPr>
        <w:t>διαμορφώνεται σε 60 μ.β., εκ των οποίων 19 μ.β. σχετίζονται με λοιπές προσαρμογές για την κάλυψη του πιστωτικού</w:t>
      </w:r>
      <w:r>
        <w:rPr>
          <w:spacing w:val="40"/>
        </w:rPr>
        <w:t> </w:t>
      </w:r>
      <w:r>
        <w:rPr>
          <w:spacing w:val="-4"/>
        </w:rPr>
        <w:t>κινδύνου</w:t>
      </w:r>
      <w:r>
        <w:rPr>
          <w:spacing w:val="-12"/>
        </w:rPr>
        <w:t> </w:t>
      </w:r>
      <w:r>
        <w:rPr>
          <w:spacing w:val="-4"/>
        </w:rPr>
        <w:t>(post</w:t>
      </w:r>
      <w:r>
        <w:rPr>
          <w:spacing w:val="-15"/>
        </w:rPr>
        <w:t> </w:t>
      </w:r>
      <w:r>
        <w:rPr>
          <w:spacing w:val="-4"/>
        </w:rPr>
        <w:t>model</w:t>
      </w:r>
      <w:r>
        <w:rPr>
          <w:spacing w:val="-12"/>
        </w:rPr>
        <w:t> </w:t>
      </w:r>
      <w:r>
        <w:rPr>
          <w:spacing w:val="-4"/>
        </w:rPr>
        <w:t>adjustments)</w:t>
      </w:r>
      <w:r>
        <w:rPr>
          <w:spacing w:val="-12"/>
        </w:rPr>
        <w:t> </w:t>
      </w:r>
      <w:r>
        <w:rPr>
          <w:spacing w:val="-4"/>
        </w:rPr>
        <w:t>και</w:t>
      </w:r>
      <w:r>
        <w:rPr>
          <w:spacing w:val="-14"/>
        </w:rPr>
        <w:t> </w:t>
      </w:r>
      <w:r>
        <w:rPr>
          <w:spacing w:val="-4"/>
        </w:rPr>
        <w:t>1</w:t>
      </w:r>
      <w:r>
        <w:rPr>
          <w:spacing w:val="-12"/>
        </w:rPr>
        <w:t> </w:t>
      </w:r>
      <w:r>
        <w:rPr>
          <w:spacing w:val="-4"/>
        </w:rPr>
        <w:t>μ.β.</w:t>
      </w:r>
      <w:r>
        <w:rPr>
          <w:spacing w:val="-12"/>
        </w:rPr>
        <w:t> </w:t>
      </w:r>
      <w:r>
        <w:rPr>
          <w:spacing w:val="-4"/>
        </w:rPr>
        <w:t>σχετίζεται</w:t>
      </w:r>
      <w:r>
        <w:rPr>
          <w:spacing w:val="-14"/>
        </w:rPr>
        <w:t> </w:t>
      </w:r>
      <w:r>
        <w:rPr>
          <w:spacing w:val="-4"/>
        </w:rPr>
        <w:t>με</w:t>
      </w:r>
      <w:r>
        <w:rPr>
          <w:spacing w:val="-13"/>
        </w:rPr>
        <w:t> </w:t>
      </w:r>
      <w:r>
        <w:rPr>
          <w:spacing w:val="-4"/>
        </w:rPr>
        <w:t>συναλλαγές</w:t>
      </w:r>
      <w:r>
        <w:rPr>
          <w:spacing w:val="-12"/>
        </w:rPr>
        <w:t> </w:t>
      </w:r>
      <w:r>
        <w:rPr>
          <w:spacing w:val="-4"/>
        </w:rPr>
        <w:t>ΜΕΑ.</w:t>
      </w:r>
    </w:p>
    <w:p>
      <w:pPr>
        <w:pStyle w:val="BodyText"/>
        <w:spacing w:before="111"/>
        <w:ind w:left="566" w:right="749"/>
      </w:pPr>
      <w:r>
        <w:rPr>
          <w:spacing w:val="-6"/>
        </w:rPr>
        <w:t>Η</w:t>
      </w:r>
      <w:r>
        <w:rPr>
          <w:spacing w:val="-9"/>
        </w:rPr>
        <w:t> </w:t>
      </w:r>
      <w:r>
        <w:rPr>
          <w:spacing w:val="-6"/>
        </w:rPr>
        <w:t>συνολική</w:t>
      </w:r>
      <w:r>
        <w:rPr>
          <w:spacing w:val="-8"/>
        </w:rPr>
        <w:t> </w:t>
      </w:r>
      <w:r>
        <w:rPr>
          <w:rFonts w:ascii="Tahoma" w:hAnsi="Tahoma"/>
          <w:b/>
          <w:spacing w:val="-6"/>
        </w:rPr>
        <w:t>επίπτωση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spacing w:val="-6"/>
        </w:rPr>
        <w:t>από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spacing w:val="-6"/>
        </w:rPr>
        <w:t>τις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spacing w:val="-6"/>
        </w:rPr>
        <w:t>συναλλαγές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spacing w:val="-6"/>
        </w:rPr>
        <w:t>ΜΕΑ</w:t>
      </w:r>
      <w:r>
        <w:rPr>
          <w:spacing w:val="-6"/>
          <w:position w:val="6"/>
          <w:sz w:val="11"/>
        </w:rPr>
        <w:t>5</w:t>
      </w:r>
      <w:r>
        <w:rPr>
          <w:spacing w:val="17"/>
          <w:position w:val="6"/>
          <w:sz w:val="11"/>
        </w:rPr>
        <w:t> </w:t>
      </w:r>
      <w:r>
        <w:rPr>
          <w:spacing w:val="-6"/>
        </w:rPr>
        <w:t>για</w:t>
      </w:r>
      <w:r>
        <w:rPr>
          <w:spacing w:val="-11"/>
        </w:rPr>
        <w:t> </w:t>
      </w:r>
      <w:r>
        <w:rPr>
          <w:spacing w:val="-6"/>
        </w:rPr>
        <w:t>το</w:t>
      </w:r>
      <w:r>
        <w:rPr>
          <w:spacing w:val="-8"/>
        </w:rPr>
        <w:t> </w:t>
      </w:r>
      <w:r>
        <w:rPr>
          <w:spacing w:val="-6"/>
        </w:rPr>
        <w:t>τρίμηνο</w:t>
      </w:r>
      <w:r>
        <w:rPr>
          <w:spacing w:val="-8"/>
        </w:rPr>
        <w:t> </w:t>
      </w:r>
      <w:r>
        <w:rPr>
          <w:spacing w:val="-6"/>
        </w:rPr>
        <w:t>ανήλθε</w:t>
      </w:r>
      <w:r>
        <w:rPr>
          <w:spacing w:val="-9"/>
        </w:rPr>
        <w:t> </w:t>
      </w:r>
      <w:r>
        <w:rPr>
          <w:spacing w:val="-6"/>
        </w:rPr>
        <w:t>σε</w:t>
      </w:r>
      <w:r>
        <w:rPr>
          <w:spacing w:val="-9"/>
        </w:rPr>
        <w:t> </w:t>
      </w:r>
      <w:r>
        <w:rPr>
          <w:spacing w:val="-6"/>
        </w:rPr>
        <w:t>€0,7</w:t>
      </w:r>
      <w:r>
        <w:rPr>
          <w:spacing w:val="-8"/>
        </w:rPr>
        <w:t> </w:t>
      </w:r>
      <w:r>
        <w:rPr>
          <w:spacing w:val="-6"/>
        </w:rPr>
        <w:t>εκατ.</w:t>
      </w:r>
      <w:r>
        <w:rPr>
          <w:spacing w:val="-10"/>
        </w:rPr>
        <w:t> </w:t>
      </w:r>
      <w:r>
        <w:rPr>
          <w:spacing w:val="-6"/>
        </w:rPr>
        <w:t>το</w:t>
      </w:r>
      <w:r>
        <w:rPr>
          <w:spacing w:val="-8"/>
        </w:rPr>
        <w:t> </w:t>
      </w:r>
      <w:r>
        <w:rPr>
          <w:spacing w:val="-6"/>
        </w:rPr>
        <w:t>β’</w:t>
      </w:r>
      <w:r>
        <w:rPr>
          <w:spacing w:val="-8"/>
        </w:rPr>
        <w:t> </w:t>
      </w:r>
      <w:r>
        <w:rPr>
          <w:spacing w:val="-6"/>
        </w:rPr>
        <w:t>τρίμηνο</w:t>
      </w:r>
      <w:r>
        <w:rPr>
          <w:spacing w:val="-11"/>
        </w:rPr>
        <w:t> </w:t>
      </w:r>
      <w:r>
        <w:rPr>
          <w:spacing w:val="-6"/>
        </w:rPr>
        <w:t>έναντι θετικής </w:t>
      </w:r>
      <w:r>
        <w:rPr>
          <w:spacing w:val="-4"/>
        </w:rPr>
        <w:t>επίπτωσης</w:t>
      </w:r>
      <w:r>
        <w:rPr>
          <w:spacing w:val="-10"/>
        </w:rPr>
        <w:t> </w:t>
      </w:r>
      <w:r>
        <w:rPr>
          <w:spacing w:val="-4"/>
        </w:rPr>
        <w:t>€10,8</w:t>
      </w:r>
      <w:r>
        <w:rPr>
          <w:spacing w:val="-12"/>
        </w:rPr>
        <w:t> </w:t>
      </w:r>
      <w:r>
        <w:rPr>
          <w:spacing w:val="-4"/>
        </w:rPr>
        <w:t>εκατ.,</w:t>
      </w:r>
      <w:r>
        <w:rPr>
          <w:spacing w:val="-14"/>
        </w:rPr>
        <w:t> </w:t>
      </w:r>
      <w:r>
        <w:rPr>
          <w:spacing w:val="-4"/>
        </w:rPr>
        <w:t>σχετιζόμενης</w:t>
      </w:r>
      <w:r>
        <w:rPr>
          <w:spacing w:val="-11"/>
        </w:rPr>
        <w:t> </w:t>
      </w:r>
      <w:r>
        <w:rPr>
          <w:spacing w:val="-4"/>
        </w:rPr>
        <w:t>με</w:t>
      </w:r>
      <w:r>
        <w:rPr>
          <w:spacing w:val="-14"/>
        </w:rPr>
        <w:t> </w:t>
      </w:r>
      <w:r>
        <w:rPr>
          <w:spacing w:val="-4"/>
        </w:rPr>
        <w:t>αναστροφή</w:t>
      </w:r>
      <w:r>
        <w:rPr>
          <w:spacing w:val="-12"/>
        </w:rPr>
        <w:t> </w:t>
      </w:r>
      <w:r>
        <w:rPr>
          <w:spacing w:val="-4"/>
        </w:rPr>
        <w:t>ζημιών</w:t>
      </w:r>
      <w:r>
        <w:rPr>
          <w:spacing w:val="-13"/>
        </w:rPr>
        <w:t> </w:t>
      </w:r>
      <w:r>
        <w:rPr>
          <w:spacing w:val="-4"/>
        </w:rPr>
        <w:t>απομείωσης</w:t>
      </w:r>
      <w:r>
        <w:rPr>
          <w:spacing w:val="-14"/>
        </w:rPr>
        <w:t> </w:t>
      </w:r>
      <w:r>
        <w:rPr>
          <w:spacing w:val="-4"/>
        </w:rPr>
        <w:t>από</w:t>
      </w:r>
      <w:r>
        <w:rPr>
          <w:spacing w:val="-12"/>
        </w:rPr>
        <w:t> </w:t>
      </w:r>
      <w:r>
        <w:rPr>
          <w:spacing w:val="-4"/>
        </w:rPr>
        <w:t>συναλλαγές</w:t>
      </w:r>
      <w:r>
        <w:rPr>
          <w:spacing w:val="-10"/>
        </w:rPr>
        <w:t> </w:t>
      </w:r>
      <w:r>
        <w:rPr>
          <w:spacing w:val="-4"/>
        </w:rPr>
        <w:t>ΜΕΑ.</w:t>
      </w:r>
    </w:p>
    <w:p>
      <w:pPr>
        <w:spacing w:before="112"/>
        <w:ind w:left="566" w:right="0" w:firstLine="0"/>
        <w:jc w:val="left"/>
        <w:rPr>
          <w:sz w:val="18"/>
        </w:rPr>
      </w:pPr>
      <w:r>
        <w:rPr>
          <w:spacing w:val="-6"/>
          <w:sz w:val="18"/>
        </w:rPr>
        <w:t>Οι</w:t>
      </w:r>
      <w:r>
        <w:rPr>
          <w:spacing w:val="-12"/>
          <w:sz w:val="18"/>
        </w:rPr>
        <w:t> </w:t>
      </w:r>
      <w:r>
        <w:rPr>
          <w:rFonts w:ascii="Tahoma" w:hAnsi="Tahoma"/>
          <w:b/>
          <w:spacing w:val="-6"/>
          <w:sz w:val="18"/>
        </w:rPr>
        <w:t>Λοιπές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pacing w:val="-6"/>
          <w:sz w:val="18"/>
        </w:rPr>
        <w:t>Ζημίες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spacing w:val="-6"/>
          <w:sz w:val="18"/>
        </w:rPr>
        <w:t>Απομείωσης</w:t>
      </w:r>
      <w:r>
        <w:rPr>
          <w:rFonts w:ascii="Tahoma" w:hAnsi="Tahoma"/>
          <w:b/>
          <w:sz w:val="18"/>
        </w:rPr>
        <w:t> </w:t>
      </w:r>
      <w:r>
        <w:rPr>
          <w:spacing w:val="-6"/>
          <w:sz w:val="18"/>
        </w:rPr>
        <w:t>κατά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το</w:t>
      </w:r>
      <w:r>
        <w:rPr>
          <w:spacing w:val="-11"/>
          <w:sz w:val="18"/>
        </w:rPr>
        <w:t> </w:t>
      </w:r>
      <w:r>
        <w:rPr>
          <w:spacing w:val="-6"/>
          <w:sz w:val="18"/>
        </w:rPr>
        <w:t>β’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τρίμηνο</w:t>
      </w:r>
      <w:r>
        <w:rPr>
          <w:spacing w:val="-16"/>
          <w:sz w:val="18"/>
        </w:rPr>
        <w:t> </w:t>
      </w:r>
      <w:r>
        <w:rPr>
          <w:spacing w:val="-6"/>
          <w:sz w:val="18"/>
        </w:rPr>
        <w:t>2026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ανήλθαν</w:t>
      </w:r>
      <w:r>
        <w:rPr>
          <w:spacing w:val="-14"/>
          <w:sz w:val="18"/>
        </w:rPr>
        <w:t> </w:t>
      </w:r>
      <w:r>
        <w:rPr>
          <w:spacing w:val="-6"/>
          <w:sz w:val="18"/>
        </w:rPr>
        <w:t>σε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€0,3</w:t>
      </w:r>
      <w:r>
        <w:rPr>
          <w:spacing w:val="-11"/>
          <w:sz w:val="18"/>
        </w:rPr>
        <w:t> </w:t>
      </w:r>
      <w:r>
        <w:rPr>
          <w:spacing w:val="-6"/>
          <w:sz w:val="18"/>
        </w:rPr>
        <w:t>εκατ.</w:t>
      </w:r>
    </w:p>
    <w:p>
      <w:pPr>
        <w:spacing w:after="0"/>
        <w:jc w:val="left"/>
        <w:rPr>
          <w:sz w:val="18"/>
        </w:rPr>
        <w:sectPr>
          <w:pgSz w:w="11920" w:h="16850"/>
          <w:pgMar w:header="639" w:footer="648" w:top="1260" w:bottom="840" w:left="283" w:right="425"/>
        </w:sectPr>
      </w:pPr>
    </w:p>
    <w:p>
      <w:pPr>
        <w:pStyle w:val="BodyText"/>
        <w:spacing w:before="133"/>
        <w:rPr>
          <w:sz w:val="28"/>
        </w:rPr>
      </w:pPr>
    </w:p>
    <w:p>
      <w:pPr>
        <w:pStyle w:val="Heading1"/>
        <w:spacing w:before="1"/>
        <w:jc w:val="both"/>
      </w:pPr>
      <w:r>
        <w:rPr>
          <w:color w:val="5B92C9"/>
        </w:rPr>
        <w:t>Βασικά</w:t>
      </w:r>
      <w:r>
        <w:rPr>
          <w:color w:val="5B92C9"/>
          <w:spacing w:val="-11"/>
        </w:rPr>
        <w:t> </w:t>
      </w:r>
      <w:r>
        <w:rPr>
          <w:color w:val="5B92C9"/>
        </w:rPr>
        <w:t>Στοιχεία</w:t>
      </w:r>
      <w:r>
        <w:rPr>
          <w:color w:val="5B92C9"/>
          <w:spacing w:val="-11"/>
        </w:rPr>
        <w:t> </w:t>
      </w:r>
      <w:r>
        <w:rPr>
          <w:color w:val="5B92C9"/>
          <w:spacing w:val="-2"/>
        </w:rPr>
        <w:t>Ισολογισμού</w:t>
      </w:r>
    </w:p>
    <w:p>
      <w:pPr>
        <w:spacing w:before="235"/>
        <w:ind w:left="600" w:right="0" w:firstLine="0"/>
        <w:jc w:val="both"/>
        <w:rPr>
          <w:sz w:val="20"/>
        </w:rPr>
      </w:pPr>
      <w:r>
        <w:rPr>
          <w:color w:val="E2882D"/>
          <w:w w:val="90"/>
          <w:sz w:val="20"/>
        </w:rPr>
        <w:t>Αύξηση</w:t>
      </w:r>
      <w:r>
        <w:rPr>
          <w:color w:val="E2882D"/>
          <w:spacing w:val="6"/>
          <w:sz w:val="20"/>
        </w:rPr>
        <w:t> </w:t>
      </w:r>
      <w:r>
        <w:rPr>
          <w:color w:val="E2882D"/>
          <w:w w:val="90"/>
          <w:sz w:val="20"/>
        </w:rPr>
        <w:t>Εξυπηρετούμενων</w:t>
      </w:r>
      <w:r>
        <w:rPr>
          <w:color w:val="E2882D"/>
          <w:spacing w:val="5"/>
          <w:sz w:val="20"/>
        </w:rPr>
        <w:t> </w:t>
      </w:r>
      <w:r>
        <w:rPr>
          <w:color w:val="E2882D"/>
          <w:w w:val="90"/>
          <w:sz w:val="20"/>
        </w:rPr>
        <w:t>δανείων</w:t>
      </w:r>
      <w:r>
        <w:rPr>
          <w:color w:val="E2882D"/>
          <w:spacing w:val="10"/>
          <w:sz w:val="20"/>
        </w:rPr>
        <w:t> </w:t>
      </w:r>
      <w:r>
        <w:rPr>
          <w:color w:val="E2882D"/>
          <w:w w:val="90"/>
          <w:sz w:val="20"/>
        </w:rPr>
        <w:t>5%</w:t>
      </w:r>
      <w:r>
        <w:rPr>
          <w:color w:val="E2882D"/>
          <w:spacing w:val="7"/>
          <w:sz w:val="20"/>
        </w:rPr>
        <w:t> </w:t>
      </w:r>
      <w:r>
        <w:rPr>
          <w:color w:val="E2882D"/>
          <w:w w:val="90"/>
          <w:sz w:val="20"/>
        </w:rPr>
        <w:t>σε</w:t>
      </w:r>
      <w:r>
        <w:rPr>
          <w:color w:val="E2882D"/>
          <w:spacing w:val="9"/>
          <w:sz w:val="20"/>
        </w:rPr>
        <w:t> </w:t>
      </w:r>
      <w:r>
        <w:rPr>
          <w:color w:val="E2882D"/>
          <w:w w:val="90"/>
          <w:sz w:val="20"/>
        </w:rPr>
        <w:t>τριμηνιαία</w:t>
      </w:r>
      <w:r>
        <w:rPr>
          <w:color w:val="E2882D"/>
          <w:spacing w:val="7"/>
          <w:sz w:val="20"/>
        </w:rPr>
        <w:t> </w:t>
      </w:r>
      <w:r>
        <w:rPr>
          <w:color w:val="E2882D"/>
          <w:w w:val="90"/>
          <w:sz w:val="20"/>
        </w:rPr>
        <w:t>βάση</w:t>
      </w:r>
      <w:r>
        <w:rPr>
          <w:color w:val="E2882D"/>
          <w:spacing w:val="6"/>
          <w:sz w:val="20"/>
        </w:rPr>
        <w:t> </w:t>
      </w:r>
      <w:r>
        <w:rPr>
          <w:color w:val="E2882D"/>
          <w:w w:val="90"/>
          <w:sz w:val="20"/>
        </w:rPr>
        <w:t>και</w:t>
      </w:r>
      <w:r>
        <w:rPr>
          <w:color w:val="E2882D"/>
          <w:spacing w:val="10"/>
          <w:sz w:val="20"/>
        </w:rPr>
        <w:t> </w:t>
      </w:r>
      <w:r>
        <w:rPr>
          <w:color w:val="E2882D"/>
          <w:w w:val="90"/>
          <w:sz w:val="20"/>
        </w:rPr>
        <w:t>14%</w:t>
      </w:r>
      <w:r>
        <w:rPr>
          <w:color w:val="E2882D"/>
          <w:spacing w:val="7"/>
          <w:sz w:val="20"/>
        </w:rPr>
        <w:t> </w:t>
      </w:r>
      <w:r>
        <w:rPr>
          <w:color w:val="E2882D"/>
          <w:w w:val="90"/>
          <w:sz w:val="20"/>
        </w:rPr>
        <w:t>σε</w:t>
      </w:r>
      <w:r>
        <w:rPr>
          <w:color w:val="E2882D"/>
          <w:spacing w:val="6"/>
          <w:sz w:val="20"/>
        </w:rPr>
        <w:t> </w:t>
      </w:r>
      <w:r>
        <w:rPr>
          <w:color w:val="E2882D"/>
          <w:w w:val="90"/>
          <w:sz w:val="20"/>
        </w:rPr>
        <w:t>ετήσια</w:t>
      </w:r>
      <w:r>
        <w:rPr>
          <w:color w:val="E2882D"/>
          <w:spacing w:val="10"/>
          <w:sz w:val="20"/>
        </w:rPr>
        <w:t> </w:t>
      </w:r>
      <w:r>
        <w:rPr>
          <w:color w:val="E2882D"/>
          <w:spacing w:val="-4"/>
          <w:w w:val="90"/>
          <w:sz w:val="20"/>
        </w:rPr>
        <w:t>βάση</w:t>
      </w:r>
    </w:p>
    <w:p>
      <w:pPr>
        <w:pStyle w:val="BodyText"/>
        <w:spacing w:before="2"/>
        <w:rPr>
          <w:sz w:val="9"/>
        </w:rPr>
      </w:pPr>
    </w:p>
    <w:tbl>
      <w:tblPr>
        <w:tblW w:w="0" w:type="auto"/>
        <w:jc w:val="left"/>
        <w:tblInd w:w="574" w:type="dxa"/>
        <w:tblBorders>
          <w:top w:val="single" w:sz="4" w:space="0" w:color="4374B8"/>
          <w:left w:val="single" w:sz="4" w:space="0" w:color="4374B8"/>
          <w:bottom w:val="single" w:sz="4" w:space="0" w:color="4374B8"/>
          <w:right w:val="single" w:sz="4" w:space="0" w:color="4374B8"/>
          <w:insideH w:val="single" w:sz="4" w:space="0" w:color="4374B8"/>
          <w:insideV w:val="single" w:sz="4" w:space="0" w:color="4374B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3"/>
        <w:gridCol w:w="313"/>
        <w:gridCol w:w="4818"/>
      </w:tblGrid>
      <w:tr>
        <w:trPr>
          <w:trHeight w:val="211" w:hRule="atLeast"/>
        </w:trPr>
        <w:tc>
          <w:tcPr>
            <w:tcW w:w="482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83" w:lineRule="exact"/>
              <w:ind w:left="11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Καθαρή</w:t>
            </w:r>
            <w:r>
              <w:rPr>
                <w:rFonts w:ascii="Calibri" w:hAnsi="Calibri"/>
                <w:b/>
                <w:spacing w:val="-3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Πιστωτική</w:t>
            </w:r>
            <w:r>
              <w:rPr>
                <w:rFonts w:ascii="Calibri" w:hAnsi="Calibri"/>
                <w:b/>
                <w:spacing w:val="-3"/>
                <w:sz w:val="18"/>
              </w:rPr>
              <w:t> </w:t>
            </w:r>
            <w:r>
              <w:rPr>
                <w:rFonts w:ascii="Calibri" w:hAnsi="Calibri"/>
                <w:b/>
                <w:spacing w:val="-2"/>
                <w:sz w:val="18"/>
              </w:rPr>
              <w:t>Επέκταση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4F81BC"/>
              <w:right w:val="nil"/>
            </w:tcBorders>
          </w:tcPr>
          <w:p>
            <w:pPr>
              <w:pStyle w:val="TableParagraph"/>
              <w:spacing w:line="183" w:lineRule="exact"/>
              <w:ind w:left="11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Επέκταση</w:t>
            </w:r>
            <w:r>
              <w:rPr>
                <w:rFonts w:ascii="Calibri" w:hAnsi="Calibri"/>
                <w:b/>
                <w:spacing w:val="-7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Χαρτοφυλακίου</w:t>
            </w:r>
            <w:r>
              <w:rPr>
                <w:rFonts w:ascii="Calibri" w:hAnsi="Calibri"/>
                <w:b/>
                <w:spacing w:val="-8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Εξυπηρετούμενων</w:t>
            </w:r>
            <w:r>
              <w:rPr>
                <w:rFonts w:ascii="Calibri" w:hAnsi="Calibri"/>
                <w:b/>
                <w:spacing w:val="-7"/>
                <w:sz w:val="18"/>
              </w:rPr>
              <w:t> </w:t>
            </w:r>
            <w:r>
              <w:rPr>
                <w:rFonts w:ascii="Calibri" w:hAnsi="Calibri"/>
                <w:b/>
                <w:spacing w:val="-2"/>
                <w:sz w:val="18"/>
              </w:rPr>
              <w:t>Δανείων</w:t>
            </w:r>
          </w:p>
        </w:tc>
      </w:tr>
      <w:tr>
        <w:trPr>
          <w:trHeight w:val="2354" w:hRule="atLeast"/>
        </w:trPr>
        <w:tc>
          <w:tcPr>
            <w:tcW w:w="4823" w:type="dxa"/>
            <w:tcBorders>
              <w:right w:val="single" w:sz="4" w:space="0" w:color="4F81BC"/>
            </w:tcBorders>
          </w:tcPr>
          <w:p>
            <w:pPr>
              <w:pStyle w:val="TableParagraph"/>
              <w:spacing w:before="25"/>
              <w:ind w:left="188"/>
              <w:rPr>
                <w:sz w:val="7"/>
              </w:rPr>
            </w:pPr>
            <w:r>
              <w:rPr>
                <w:sz w:val="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0624">
                      <wp:simplePos x="0" y="0"/>
                      <wp:positionH relativeFrom="column">
                        <wp:posOffset>232280</wp:posOffset>
                      </wp:positionH>
                      <wp:positionV relativeFrom="paragraph">
                        <wp:posOffset>135803</wp:posOffset>
                      </wp:positionV>
                      <wp:extent cx="2228850" cy="1059180"/>
                      <wp:effectExtent l="0" t="0" r="0" b="0"/>
                      <wp:wrapNone/>
                      <wp:docPr id="123" name="Group 1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3" name="Group 123"/>
                            <wpg:cNvGrpSpPr/>
                            <wpg:grpSpPr>
                              <a:xfrm>
                                <a:off x="0" y="0"/>
                                <a:ext cx="2228850" cy="1059180"/>
                                <a:chExt cx="2228850" cy="105918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2144636" y="2332"/>
                                  <a:ext cx="81915" cy="1052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915" h="1052195">
                                      <a:moveTo>
                                        <a:pt x="0" y="0"/>
                                      </a:moveTo>
                                      <a:lnTo>
                                        <a:pt x="37650" y="11396"/>
                                      </a:lnTo>
                                      <a:lnTo>
                                        <a:pt x="40859" y="266436"/>
                                      </a:lnTo>
                                      <a:lnTo>
                                        <a:pt x="44058" y="273716"/>
                                      </a:lnTo>
                                      <a:lnTo>
                                        <a:pt x="52790" y="279657"/>
                                      </a:lnTo>
                                      <a:lnTo>
                                        <a:pt x="65755" y="283661"/>
                                      </a:lnTo>
                                      <a:lnTo>
                                        <a:pt x="81657" y="285129"/>
                                      </a:lnTo>
                                      <a:lnTo>
                                        <a:pt x="65755" y="286596"/>
                                      </a:lnTo>
                                      <a:lnTo>
                                        <a:pt x="52790" y="290596"/>
                                      </a:lnTo>
                                      <a:lnTo>
                                        <a:pt x="44058" y="296526"/>
                                      </a:lnTo>
                                      <a:lnTo>
                                        <a:pt x="40859" y="303783"/>
                                      </a:lnTo>
                                      <a:lnTo>
                                        <a:pt x="40859" y="551565"/>
                                      </a:lnTo>
                                      <a:lnTo>
                                        <a:pt x="37651" y="558845"/>
                                      </a:lnTo>
                                      <a:lnTo>
                                        <a:pt x="28898" y="564787"/>
                                      </a:lnTo>
                                      <a:lnTo>
                                        <a:pt x="15911" y="568791"/>
                                      </a:lnTo>
                                      <a:lnTo>
                                        <a:pt x="0" y="570259"/>
                                      </a:lnTo>
                                    </a:path>
                                    <a:path w="81915" h="1052195">
                                      <a:moveTo>
                                        <a:pt x="0" y="588242"/>
                                      </a:moveTo>
                                      <a:lnTo>
                                        <a:pt x="37651" y="599638"/>
                                      </a:lnTo>
                                      <a:lnTo>
                                        <a:pt x="40859" y="801438"/>
                                      </a:lnTo>
                                      <a:lnTo>
                                        <a:pt x="44058" y="808718"/>
                                      </a:lnTo>
                                      <a:lnTo>
                                        <a:pt x="52790" y="814659"/>
                                      </a:lnTo>
                                      <a:lnTo>
                                        <a:pt x="65755" y="818664"/>
                                      </a:lnTo>
                                      <a:lnTo>
                                        <a:pt x="81657" y="820131"/>
                                      </a:lnTo>
                                      <a:lnTo>
                                        <a:pt x="65755" y="821599"/>
                                      </a:lnTo>
                                      <a:lnTo>
                                        <a:pt x="52790" y="825598"/>
                                      </a:lnTo>
                                      <a:lnTo>
                                        <a:pt x="44058" y="831528"/>
                                      </a:lnTo>
                                      <a:lnTo>
                                        <a:pt x="40859" y="838785"/>
                                      </a:lnTo>
                                      <a:lnTo>
                                        <a:pt x="40859" y="1033340"/>
                                      </a:lnTo>
                                      <a:lnTo>
                                        <a:pt x="37651" y="1040609"/>
                                      </a:lnTo>
                                      <a:lnTo>
                                        <a:pt x="28898" y="1046546"/>
                                      </a:lnTo>
                                      <a:lnTo>
                                        <a:pt x="15911" y="1050549"/>
                                      </a:lnTo>
                                      <a:lnTo>
                                        <a:pt x="0" y="1052017"/>
                                      </a:lnTo>
                                    </a:path>
                                  </a:pathLst>
                                </a:custGeom>
                                <a:ln w="3818">
                                  <a:solidFill>
                                    <a:srgbClr val="8E8E8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97310" y="56292"/>
                                  <a:ext cx="1988820" cy="571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8820" h="571500">
                                      <a:moveTo>
                                        <a:pt x="242531" y="197332"/>
                                      </a:moveTo>
                                      <a:lnTo>
                                        <a:pt x="0" y="197332"/>
                                      </a:lnTo>
                                      <a:lnTo>
                                        <a:pt x="0" y="571195"/>
                                      </a:lnTo>
                                      <a:lnTo>
                                        <a:pt x="242531" y="571195"/>
                                      </a:lnTo>
                                      <a:lnTo>
                                        <a:pt x="242531" y="197332"/>
                                      </a:lnTo>
                                      <a:close/>
                                    </a:path>
                                    <a:path w="1988820" h="571500">
                                      <a:moveTo>
                                        <a:pt x="678992" y="167525"/>
                                      </a:moveTo>
                                      <a:lnTo>
                                        <a:pt x="436448" y="167525"/>
                                      </a:lnTo>
                                      <a:lnTo>
                                        <a:pt x="436448" y="571195"/>
                                      </a:lnTo>
                                      <a:lnTo>
                                        <a:pt x="678992" y="571195"/>
                                      </a:lnTo>
                                      <a:lnTo>
                                        <a:pt x="678992" y="167525"/>
                                      </a:lnTo>
                                      <a:close/>
                                    </a:path>
                                    <a:path w="1988820" h="571500">
                                      <a:moveTo>
                                        <a:pt x="1115402" y="0"/>
                                      </a:moveTo>
                                      <a:lnTo>
                                        <a:pt x="872871" y="0"/>
                                      </a:lnTo>
                                      <a:lnTo>
                                        <a:pt x="872871" y="571195"/>
                                      </a:lnTo>
                                      <a:lnTo>
                                        <a:pt x="1115402" y="571195"/>
                                      </a:lnTo>
                                      <a:lnTo>
                                        <a:pt x="1115402" y="0"/>
                                      </a:lnTo>
                                      <a:close/>
                                    </a:path>
                                    <a:path w="1988820" h="571500">
                                      <a:moveTo>
                                        <a:pt x="1551825" y="134874"/>
                                      </a:moveTo>
                                      <a:lnTo>
                                        <a:pt x="1309281" y="134874"/>
                                      </a:lnTo>
                                      <a:lnTo>
                                        <a:pt x="1309281" y="571195"/>
                                      </a:lnTo>
                                      <a:lnTo>
                                        <a:pt x="1551825" y="571195"/>
                                      </a:lnTo>
                                      <a:lnTo>
                                        <a:pt x="1551825" y="134874"/>
                                      </a:lnTo>
                                      <a:close/>
                                    </a:path>
                                    <a:path w="1988820" h="571500">
                                      <a:moveTo>
                                        <a:pt x="1988248" y="53467"/>
                                      </a:moveTo>
                                      <a:lnTo>
                                        <a:pt x="1745703" y="53467"/>
                                      </a:lnTo>
                                      <a:lnTo>
                                        <a:pt x="1745703" y="571195"/>
                                      </a:lnTo>
                                      <a:lnTo>
                                        <a:pt x="1988248" y="571195"/>
                                      </a:lnTo>
                                      <a:lnTo>
                                        <a:pt x="1988248" y="534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F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97310" y="12274"/>
                                  <a:ext cx="1988820" cy="641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8820" h="641985">
                                      <a:moveTo>
                                        <a:pt x="242531" y="615213"/>
                                      </a:moveTo>
                                      <a:lnTo>
                                        <a:pt x="0" y="615213"/>
                                      </a:lnTo>
                                      <a:lnTo>
                                        <a:pt x="0" y="638403"/>
                                      </a:lnTo>
                                      <a:lnTo>
                                        <a:pt x="242531" y="638403"/>
                                      </a:lnTo>
                                      <a:lnTo>
                                        <a:pt x="242531" y="615213"/>
                                      </a:lnTo>
                                      <a:close/>
                                    </a:path>
                                    <a:path w="1988820" h="641985">
                                      <a:moveTo>
                                        <a:pt x="242531" y="209651"/>
                                      </a:moveTo>
                                      <a:lnTo>
                                        <a:pt x="0" y="209651"/>
                                      </a:lnTo>
                                      <a:lnTo>
                                        <a:pt x="0" y="241350"/>
                                      </a:lnTo>
                                      <a:lnTo>
                                        <a:pt x="242531" y="241350"/>
                                      </a:lnTo>
                                      <a:lnTo>
                                        <a:pt x="242531" y="209651"/>
                                      </a:lnTo>
                                      <a:close/>
                                    </a:path>
                                    <a:path w="1988820" h="641985">
                                      <a:moveTo>
                                        <a:pt x="678992" y="615213"/>
                                      </a:moveTo>
                                      <a:lnTo>
                                        <a:pt x="436448" y="615213"/>
                                      </a:lnTo>
                                      <a:lnTo>
                                        <a:pt x="436448" y="641248"/>
                                      </a:lnTo>
                                      <a:lnTo>
                                        <a:pt x="678992" y="641248"/>
                                      </a:lnTo>
                                      <a:lnTo>
                                        <a:pt x="678992" y="615213"/>
                                      </a:lnTo>
                                      <a:close/>
                                    </a:path>
                                    <a:path w="1988820" h="641985">
                                      <a:moveTo>
                                        <a:pt x="678992" y="176999"/>
                                      </a:moveTo>
                                      <a:lnTo>
                                        <a:pt x="436448" y="176999"/>
                                      </a:lnTo>
                                      <a:lnTo>
                                        <a:pt x="436448" y="211543"/>
                                      </a:lnTo>
                                      <a:lnTo>
                                        <a:pt x="678992" y="211543"/>
                                      </a:lnTo>
                                      <a:lnTo>
                                        <a:pt x="678992" y="176999"/>
                                      </a:lnTo>
                                      <a:close/>
                                    </a:path>
                                    <a:path w="1988820" h="641985">
                                      <a:moveTo>
                                        <a:pt x="1115402" y="615213"/>
                                      </a:moveTo>
                                      <a:lnTo>
                                        <a:pt x="872871" y="615213"/>
                                      </a:lnTo>
                                      <a:lnTo>
                                        <a:pt x="872871" y="640295"/>
                                      </a:lnTo>
                                      <a:lnTo>
                                        <a:pt x="1115402" y="640295"/>
                                      </a:lnTo>
                                      <a:lnTo>
                                        <a:pt x="1115402" y="615213"/>
                                      </a:lnTo>
                                      <a:close/>
                                    </a:path>
                                    <a:path w="1988820" h="641985">
                                      <a:moveTo>
                                        <a:pt x="1115402" y="0"/>
                                      </a:moveTo>
                                      <a:lnTo>
                                        <a:pt x="872871" y="0"/>
                                      </a:lnTo>
                                      <a:lnTo>
                                        <a:pt x="872871" y="44018"/>
                                      </a:lnTo>
                                      <a:lnTo>
                                        <a:pt x="1115402" y="44018"/>
                                      </a:lnTo>
                                      <a:lnTo>
                                        <a:pt x="1115402" y="0"/>
                                      </a:lnTo>
                                      <a:close/>
                                    </a:path>
                                    <a:path w="1988820" h="641985">
                                      <a:moveTo>
                                        <a:pt x="1551825" y="615213"/>
                                      </a:moveTo>
                                      <a:lnTo>
                                        <a:pt x="1309281" y="615213"/>
                                      </a:lnTo>
                                      <a:lnTo>
                                        <a:pt x="1309281" y="641248"/>
                                      </a:lnTo>
                                      <a:lnTo>
                                        <a:pt x="1551825" y="641248"/>
                                      </a:lnTo>
                                      <a:lnTo>
                                        <a:pt x="1551825" y="615213"/>
                                      </a:lnTo>
                                      <a:close/>
                                    </a:path>
                                    <a:path w="1988820" h="641985">
                                      <a:moveTo>
                                        <a:pt x="1551825" y="144818"/>
                                      </a:moveTo>
                                      <a:lnTo>
                                        <a:pt x="1309281" y="144818"/>
                                      </a:lnTo>
                                      <a:lnTo>
                                        <a:pt x="1309281" y="178892"/>
                                      </a:lnTo>
                                      <a:lnTo>
                                        <a:pt x="1551825" y="178892"/>
                                      </a:lnTo>
                                      <a:lnTo>
                                        <a:pt x="1551825" y="144818"/>
                                      </a:lnTo>
                                      <a:close/>
                                    </a:path>
                                    <a:path w="1988820" h="641985">
                                      <a:moveTo>
                                        <a:pt x="1988248" y="615213"/>
                                      </a:moveTo>
                                      <a:lnTo>
                                        <a:pt x="1745703" y="615213"/>
                                      </a:lnTo>
                                      <a:lnTo>
                                        <a:pt x="1745703" y="641718"/>
                                      </a:lnTo>
                                      <a:lnTo>
                                        <a:pt x="1988248" y="641718"/>
                                      </a:lnTo>
                                      <a:lnTo>
                                        <a:pt x="1988248" y="615213"/>
                                      </a:lnTo>
                                      <a:close/>
                                    </a:path>
                                    <a:path w="1988820" h="641985">
                                      <a:moveTo>
                                        <a:pt x="1988248" y="60579"/>
                                      </a:moveTo>
                                      <a:lnTo>
                                        <a:pt x="1745703" y="60579"/>
                                      </a:lnTo>
                                      <a:lnTo>
                                        <a:pt x="1745703" y="97485"/>
                                      </a:lnTo>
                                      <a:lnTo>
                                        <a:pt x="1988248" y="97485"/>
                                      </a:lnTo>
                                      <a:lnTo>
                                        <a:pt x="1988248" y="605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A4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97310" y="650677"/>
                                  <a:ext cx="198882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8820" h="408940">
                                      <a:moveTo>
                                        <a:pt x="2425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5562"/>
                                      </a:lnTo>
                                      <a:lnTo>
                                        <a:pt x="242531" y="255562"/>
                                      </a:lnTo>
                                      <a:lnTo>
                                        <a:pt x="242531" y="0"/>
                                      </a:lnTo>
                                      <a:close/>
                                    </a:path>
                                    <a:path w="1988820" h="408940">
                                      <a:moveTo>
                                        <a:pt x="678992" y="2844"/>
                                      </a:moveTo>
                                      <a:lnTo>
                                        <a:pt x="436448" y="2844"/>
                                      </a:lnTo>
                                      <a:lnTo>
                                        <a:pt x="436448" y="310921"/>
                                      </a:lnTo>
                                      <a:lnTo>
                                        <a:pt x="678992" y="310921"/>
                                      </a:lnTo>
                                      <a:lnTo>
                                        <a:pt x="678992" y="2844"/>
                                      </a:lnTo>
                                      <a:close/>
                                    </a:path>
                                    <a:path w="1988820" h="408940">
                                      <a:moveTo>
                                        <a:pt x="1115402" y="1892"/>
                                      </a:moveTo>
                                      <a:lnTo>
                                        <a:pt x="872871" y="1892"/>
                                      </a:lnTo>
                                      <a:lnTo>
                                        <a:pt x="872871" y="408406"/>
                                      </a:lnTo>
                                      <a:lnTo>
                                        <a:pt x="1115402" y="408406"/>
                                      </a:lnTo>
                                      <a:lnTo>
                                        <a:pt x="1115402" y="1892"/>
                                      </a:lnTo>
                                      <a:close/>
                                    </a:path>
                                    <a:path w="1988820" h="408940">
                                      <a:moveTo>
                                        <a:pt x="1551825" y="2844"/>
                                      </a:moveTo>
                                      <a:lnTo>
                                        <a:pt x="1309281" y="2844"/>
                                      </a:lnTo>
                                      <a:lnTo>
                                        <a:pt x="1309281" y="367715"/>
                                      </a:lnTo>
                                      <a:lnTo>
                                        <a:pt x="1551825" y="367715"/>
                                      </a:lnTo>
                                      <a:lnTo>
                                        <a:pt x="1551825" y="2844"/>
                                      </a:lnTo>
                                      <a:close/>
                                    </a:path>
                                    <a:path w="1988820" h="408940">
                                      <a:moveTo>
                                        <a:pt x="1988248" y="3314"/>
                                      </a:moveTo>
                                      <a:lnTo>
                                        <a:pt x="1745703" y="3314"/>
                                      </a:lnTo>
                                      <a:lnTo>
                                        <a:pt x="1745703" y="292938"/>
                                      </a:lnTo>
                                      <a:lnTo>
                                        <a:pt x="1988248" y="292938"/>
                                      </a:lnTo>
                                      <a:lnTo>
                                        <a:pt x="1988248" y="33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F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627487"/>
                                  <a:ext cx="21831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3130" h="0">
                                      <a:moveTo>
                                        <a:pt x="313652" y="0"/>
                                      </a:moveTo>
                                      <a:lnTo>
                                        <a:pt x="559965" y="0"/>
                                      </a:lnTo>
                                    </a:path>
                                    <a:path w="2183130" h="0">
                                      <a:moveTo>
                                        <a:pt x="750103" y="0"/>
                                      </a:moveTo>
                                      <a:lnTo>
                                        <a:pt x="996384" y="0"/>
                                      </a:lnTo>
                                    </a:path>
                                    <a:path w="2183130" h="0">
                                      <a:moveTo>
                                        <a:pt x="0" y="0"/>
                                      </a:moveTo>
                                      <a:lnTo>
                                        <a:pt x="123514" y="0"/>
                                      </a:lnTo>
                                    </a:path>
                                    <a:path w="2183130" h="0">
                                      <a:moveTo>
                                        <a:pt x="1186522" y="0"/>
                                      </a:moveTo>
                                      <a:lnTo>
                                        <a:pt x="1432804" y="0"/>
                                      </a:lnTo>
                                    </a:path>
                                    <a:path w="2183130" h="0">
                                      <a:moveTo>
                                        <a:pt x="1622942" y="0"/>
                                      </a:moveTo>
                                      <a:lnTo>
                                        <a:pt x="1869161" y="0"/>
                                      </a:lnTo>
                                    </a:path>
                                    <a:path w="2183130" h="0">
                                      <a:moveTo>
                                        <a:pt x="2059299" y="0"/>
                                      </a:moveTo>
                                      <a:lnTo>
                                        <a:pt x="2182876" y="0"/>
                                      </a:lnTo>
                                    </a:path>
                                  </a:pathLst>
                                </a:custGeom>
                                <a:ln w="29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123510" y="5644"/>
                                  <a:ext cx="1936114" cy="663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6114" h="663575">
                                      <a:moveTo>
                                        <a:pt x="165430" y="203504"/>
                                      </a:moveTo>
                                      <a:lnTo>
                                        <a:pt x="24701" y="203504"/>
                                      </a:lnTo>
                                      <a:lnTo>
                                        <a:pt x="24701" y="260286"/>
                                      </a:lnTo>
                                      <a:lnTo>
                                        <a:pt x="165430" y="260286"/>
                                      </a:lnTo>
                                      <a:lnTo>
                                        <a:pt x="165430" y="203504"/>
                                      </a:lnTo>
                                      <a:close/>
                                    </a:path>
                                    <a:path w="1936114" h="663575">
                                      <a:moveTo>
                                        <a:pt x="190131" y="605282"/>
                                      </a:moveTo>
                                      <a:lnTo>
                                        <a:pt x="0" y="605282"/>
                                      </a:lnTo>
                                      <a:lnTo>
                                        <a:pt x="0" y="662076"/>
                                      </a:lnTo>
                                      <a:lnTo>
                                        <a:pt x="190131" y="662076"/>
                                      </a:lnTo>
                                      <a:lnTo>
                                        <a:pt x="190131" y="605282"/>
                                      </a:lnTo>
                                      <a:close/>
                                    </a:path>
                                    <a:path w="1936114" h="663575">
                                      <a:moveTo>
                                        <a:pt x="601878" y="172745"/>
                                      </a:moveTo>
                                      <a:lnTo>
                                        <a:pt x="461899" y="172745"/>
                                      </a:lnTo>
                                      <a:lnTo>
                                        <a:pt x="461899" y="229527"/>
                                      </a:lnTo>
                                      <a:lnTo>
                                        <a:pt x="601878" y="229527"/>
                                      </a:lnTo>
                                      <a:lnTo>
                                        <a:pt x="601878" y="172745"/>
                                      </a:lnTo>
                                      <a:close/>
                                    </a:path>
                                    <a:path w="1936114" h="663575">
                                      <a:moveTo>
                                        <a:pt x="626592" y="606234"/>
                                      </a:moveTo>
                                      <a:lnTo>
                                        <a:pt x="436448" y="606234"/>
                                      </a:lnTo>
                                      <a:lnTo>
                                        <a:pt x="436448" y="663016"/>
                                      </a:lnTo>
                                      <a:lnTo>
                                        <a:pt x="626592" y="663016"/>
                                      </a:lnTo>
                                      <a:lnTo>
                                        <a:pt x="626592" y="606234"/>
                                      </a:lnTo>
                                      <a:close/>
                                    </a:path>
                                    <a:path w="1936114" h="663575">
                                      <a:moveTo>
                                        <a:pt x="1037551" y="0"/>
                                      </a:moveTo>
                                      <a:lnTo>
                                        <a:pt x="897572" y="0"/>
                                      </a:lnTo>
                                      <a:lnTo>
                                        <a:pt x="897572" y="56794"/>
                                      </a:lnTo>
                                      <a:lnTo>
                                        <a:pt x="1037551" y="56794"/>
                                      </a:lnTo>
                                      <a:lnTo>
                                        <a:pt x="1037551" y="0"/>
                                      </a:lnTo>
                                      <a:close/>
                                    </a:path>
                                    <a:path w="1936114" h="663575">
                                      <a:moveTo>
                                        <a:pt x="1063002" y="605764"/>
                                      </a:moveTo>
                                      <a:lnTo>
                                        <a:pt x="872871" y="605764"/>
                                      </a:lnTo>
                                      <a:lnTo>
                                        <a:pt x="872871" y="662546"/>
                                      </a:lnTo>
                                      <a:lnTo>
                                        <a:pt x="1063002" y="662546"/>
                                      </a:lnTo>
                                      <a:lnTo>
                                        <a:pt x="1063002" y="605764"/>
                                      </a:lnTo>
                                      <a:close/>
                                    </a:path>
                                    <a:path w="1936114" h="663575">
                                      <a:moveTo>
                                        <a:pt x="1474660" y="140081"/>
                                      </a:moveTo>
                                      <a:lnTo>
                                        <a:pt x="1333931" y="140081"/>
                                      </a:lnTo>
                                      <a:lnTo>
                                        <a:pt x="1333931" y="196875"/>
                                      </a:lnTo>
                                      <a:lnTo>
                                        <a:pt x="1474660" y="196875"/>
                                      </a:lnTo>
                                      <a:lnTo>
                                        <a:pt x="1474660" y="140081"/>
                                      </a:lnTo>
                                      <a:close/>
                                    </a:path>
                                    <a:path w="1936114" h="663575">
                                      <a:moveTo>
                                        <a:pt x="1499425" y="606234"/>
                                      </a:moveTo>
                                      <a:lnTo>
                                        <a:pt x="1309281" y="606234"/>
                                      </a:lnTo>
                                      <a:lnTo>
                                        <a:pt x="1309281" y="663016"/>
                                      </a:lnTo>
                                      <a:lnTo>
                                        <a:pt x="1499425" y="663016"/>
                                      </a:lnTo>
                                      <a:lnTo>
                                        <a:pt x="1499425" y="606234"/>
                                      </a:lnTo>
                                      <a:close/>
                                    </a:path>
                                    <a:path w="1936114" h="663575">
                                      <a:moveTo>
                                        <a:pt x="1911146" y="57264"/>
                                      </a:moveTo>
                                      <a:lnTo>
                                        <a:pt x="1771154" y="57264"/>
                                      </a:lnTo>
                                      <a:lnTo>
                                        <a:pt x="1771154" y="114058"/>
                                      </a:lnTo>
                                      <a:lnTo>
                                        <a:pt x="1911146" y="114058"/>
                                      </a:lnTo>
                                      <a:lnTo>
                                        <a:pt x="1911146" y="57264"/>
                                      </a:lnTo>
                                      <a:close/>
                                    </a:path>
                                    <a:path w="1936114" h="663575">
                                      <a:moveTo>
                                        <a:pt x="1935784" y="606704"/>
                                      </a:moveTo>
                                      <a:lnTo>
                                        <a:pt x="1745640" y="606704"/>
                                      </a:lnTo>
                                      <a:lnTo>
                                        <a:pt x="1745640" y="663498"/>
                                      </a:lnTo>
                                      <a:lnTo>
                                        <a:pt x="1935784" y="663498"/>
                                      </a:lnTo>
                                      <a:lnTo>
                                        <a:pt x="1935784" y="6067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A4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289764pt;margin-top:10.693203pt;width:175.5pt;height:83.4pt;mso-position-horizontal-relative:column;mso-position-vertical-relative:paragraph;z-index:-18105856" id="docshapegroup116" coordorigin="366,214" coordsize="3510,1668">
                      <v:shape style="position:absolute;left:3743;top:217;width:129;height:1657" id="docshape117" coordorigin="3743,218" coordsize="129,1657" path="m3743,218l3768,220,3789,226,3802,235,3808,247,3808,637,3813,649,3826,658,3847,664,3872,667,3847,669,3826,675,3813,685,3808,696,3808,1086,3802,1098,3789,1107,3768,1113,3743,1116m3743,1144l3768,1146,3789,1153,3802,1162,3808,1173,3808,1480,3813,1491,3826,1500,3847,1507,3872,1509,3847,1511,3826,1518,3813,1527,3808,1538,3808,1845,3802,1856,3789,1866,3768,1872,3743,1874e" filled="false" stroked="true" strokeweight=".300644pt" strokecolor="#8e8e8e">
                        <v:path arrowok="t"/>
                        <v:stroke dashstyle="solid"/>
                      </v:shape>
                      <v:shape style="position:absolute;left:519;top:302;width:3132;height:900" id="docshape118" coordorigin="519,303" coordsize="3132,900" path="m901,613l519,613,519,1202,901,1202,901,613xm1588,566l1206,566,1206,1202,1588,1202,1588,566xm2276,303l1894,303,1894,1202,2276,1202,2276,303xm2963,515l2581,515,2581,1202,2963,1202,2963,515xm3650,387l3268,387,3268,1202,3650,1202,3650,387xe" filled="true" fillcolor="#d2dfed" stroked="false">
                        <v:path arrowok="t"/>
                        <v:fill type="solid"/>
                      </v:shape>
                      <v:shape style="position:absolute;left:519;top:233;width:3132;height:1011" id="docshape119" coordorigin="519,233" coordsize="3132,1011" path="m901,1202l519,1202,519,1239,901,1239,901,1202xm901,563l519,563,519,613,901,613,901,563xm1588,1202l1206,1202,1206,1243,1588,1243,1588,1202xm1588,512l1206,512,1206,566,1588,566,1588,512xm2276,1202l1894,1202,1894,1242,2276,1242,2276,1202xm2276,233l1894,233,1894,303,2276,303,2276,233xm2963,1202l2581,1202,2581,1243,2963,1243,2963,1202xm2963,461l2581,461,2581,515,2963,515,2963,461xm3650,1202l3268,1202,3268,1244,3650,1244,3650,1202xm3650,329l3268,329,3268,387,3650,387,3650,329xe" filled="true" fillcolor="#a8a4a4" stroked="false">
                        <v:path arrowok="t"/>
                        <v:fill type="solid"/>
                      </v:shape>
                      <v:shape style="position:absolute;left:519;top:1238;width:3132;height:644" id="docshape120" coordorigin="519,1239" coordsize="3132,644" path="m901,1239l519,1239,519,1641,901,1641,901,1239xm1588,1243l1206,1243,1206,1728,1588,1728,1588,1243xm2276,1242l1894,1242,1894,1882,2276,1882,2276,1242xm2963,1243l2581,1243,2581,1818,2963,1818,2963,1243xm3650,1244l3268,1244,3268,1700,3650,1700,3650,1244xe" filled="true" fillcolor="#d2dfed" stroked="false">
                        <v:path arrowok="t"/>
                        <v:fill type="solid"/>
                      </v:shape>
                      <v:shape style="position:absolute;left:365;top:1202;width:3438;height:2" id="docshape121" coordorigin="366,1202" coordsize="3438,0" path="m860,1202l1248,1202m1547,1202l1935,1202m366,1202l560,1202m2234,1202l2622,1202m2922,1202l3309,1202m3609,1202l3803,1202e" filled="false" stroked="true" strokeweight=".232896pt" strokecolor="#000000">
                        <v:path arrowok="t"/>
                        <v:stroke dashstyle="solid"/>
                      </v:shape>
                      <v:shape style="position:absolute;left:560;top:222;width:3049;height:1045" id="docshape122" coordorigin="560,223" coordsize="3049,1045" path="m821,543l599,543,599,633,821,633,821,543xm860,1176l560,1176,560,1265,860,1265,860,1176xm1508,495l1288,495,1288,584,1508,584,1508,495xm1547,1177l1248,1177,1248,1267,1547,1267,1547,1177xm2194,223l1974,223,1974,312,2194,312,2194,223xm2234,1177l1935,1177,1935,1266,2234,1266,2234,1177xm2883,443l2661,443,2661,533,2883,533,2883,443xm2922,1177l2622,1177,2622,1267,2922,1267,2922,1177xm3570,313l3350,313,3350,402,3570,402,3570,313xm3609,1178l3309,1178,3309,1268,3609,1268,3609,1178xe" filled="true" fillcolor="#a8a4a4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8E8E8E"/>
                <w:w w:val="155"/>
                <w:sz w:val="7"/>
              </w:rPr>
              <w:t>Ελλάδα,</w:t>
            </w:r>
            <w:r>
              <w:rPr>
                <w:color w:val="8E8E8E"/>
                <w:spacing w:val="3"/>
                <w:w w:val="155"/>
                <w:sz w:val="7"/>
              </w:rPr>
              <w:t> </w:t>
            </w:r>
            <w:r>
              <w:rPr>
                <w:color w:val="8E8E8E"/>
                <w:w w:val="155"/>
                <w:sz w:val="7"/>
              </w:rPr>
              <w:t>€</w:t>
            </w:r>
            <w:r>
              <w:rPr>
                <w:color w:val="8E8E8E"/>
                <w:spacing w:val="3"/>
                <w:w w:val="155"/>
                <w:sz w:val="7"/>
              </w:rPr>
              <w:t> </w:t>
            </w:r>
            <w:r>
              <w:rPr>
                <w:color w:val="8E8E8E"/>
                <w:spacing w:val="-4"/>
                <w:w w:val="155"/>
                <w:sz w:val="7"/>
              </w:rPr>
              <w:t>δισ.</w:t>
            </w:r>
          </w:p>
          <w:p>
            <w:pPr>
              <w:pStyle w:val="TableParagraph"/>
              <w:spacing w:before="23"/>
              <w:ind w:left="1990"/>
              <w:rPr>
                <w:sz w:val="7"/>
              </w:rPr>
            </w:pPr>
            <w:r>
              <w:rPr>
                <w:w w:val="140"/>
                <w:sz w:val="7"/>
              </w:rPr>
              <w:t>1</w:t>
            </w:r>
            <w:r>
              <w:rPr>
                <w:spacing w:val="-24"/>
                <w:w w:val="140"/>
                <w:sz w:val="7"/>
              </w:rPr>
              <w:t> </w:t>
            </w:r>
            <w:r>
              <w:rPr>
                <w:spacing w:val="-5"/>
                <w:w w:val="140"/>
                <w:sz w:val="7"/>
              </w:rPr>
              <w:t>,3</w:t>
            </w:r>
          </w:p>
          <w:p>
            <w:pPr>
              <w:pStyle w:val="TableParagraph"/>
              <w:tabs>
                <w:tab w:pos="3366" w:val="left" w:leader="none"/>
              </w:tabs>
              <w:spacing w:before="7"/>
              <w:ind w:left="1990"/>
              <w:rPr>
                <w:sz w:val="7"/>
              </w:rPr>
            </w:pPr>
            <w:r>
              <w:rPr>
                <w:color w:val="FFFFFF"/>
                <w:w w:val="140"/>
                <w:sz w:val="7"/>
              </w:rPr>
              <w:t>0</w:t>
            </w:r>
            <w:r>
              <w:rPr>
                <w:color w:val="FFFFFF"/>
                <w:spacing w:val="-24"/>
                <w:w w:val="140"/>
                <w:sz w:val="7"/>
              </w:rPr>
              <w:t> </w:t>
            </w:r>
            <w:r>
              <w:rPr>
                <w:color w:val="FFFFFF"/>
                <w:spacing w:val="-5"/>
                <w:w w:val="140"/>
                <w:sz w:val="7"/>
              </w:rPr>
              <w:t>,3</w:t>
            </w:r>
            <w:r>
              <w:rPr>
                <w:color w:val="FFFFFF"/>
                <w:sz w:val="7"/>
              </w:rPr>
              <w:tab/>
            </w:r>
            <w:r>
              <w:rPr>
                <w:w w:val="140"/>
                <w:sz w:val="7"/>
              </w:rPr>
              <w:t>1</w:t>
            </w:r>
            <w:r>
              <w:rPr>
                <w:spacing w:val="-24"/>
                <w:w w:val="140"/>
                <w:sz w:val="7"/>
              </w:rPr>
              <w:t> </w:t>
            </w:r>
            <w:r>
              <w:rPr>
                <w:spacing w:val="-5"/>
                <w:w w:val="140"/>
                <w:sz w:val="7"/>
              </w:rPr>
              <w:t>,6</w:t>
            </w:r>
          </w:p>
          <w:p>
            <w:pPr>
              <w:pStyle w:val="TableParagraph"/>
              <w:tabs>
                <w:tab w:pos="3366" w:val="left" w:leader="none"/>
              </w:tabs>
              <w:spacing w:line="163" w:lineRule="auto" w:before="14"/>
              <w:ind w:left="2678"/>
              <w:rPr>
                <w:sz w:val="7"/>
              </w:rPr>
            </w:pPr>
            <w:r>
              <w:rPr>
                <w:w w:val="140"/>
                <w:position w:val="-3"/>
                <w:sz w:val="7"/>
              </w:rPr>
              <w:t>0</w:t>
            </w:r>
            <w:r>
              <w:rPr>
                <w:spacing w:val="-24"/>
                <w:w w:val="140"/>
                <w:position w:val="-3"/>
                <w:sz w:val="7"/>
              </w:rPr>
              <w:t> </w:t>
            </w:r>
            <w:r>
              <w:rPr>
                <w:spacing w:val="-5"/>
                <w:w w:val="140"/>
                <w:position w:val="-3"/>
                <w:sz w:val="7"/>
              </w:rPr>
              <w:t>,5</w:t>
            </w:r>
            <w:r>
              <w:rPr>
                <w:position w:val="-3"/>
                <w:sz w:val="7"/>
              </w:rPr>
              <w:tab/>
            </w:r>
            <w:r>
              <w:rPr>
                <w:color w:val="FFFFFF"/>
                <w:w w:val="140"/>
                <w:sz w:val="7"/>
              </w:rPr>
              <w:t>0</w:t>
            </w:r>
            <w:r>
              <w:rPr>
                <w:color w:val="FFFFFF"/>
                <w:spacing w:val="-24"/>
                <w:w w:val="140"/>
                <w:sz w:val="7"/>
              </w:rPr>
              <w:t> </w:t>
            </w:r>
            <w:r>
              <w:rPr>
                <w:color w:val="FFFFFF"/>
                <w:spacing w:val="-5"/>
                <w:w w:val="140"/>
                <w:sz w:val="7"/>
              </w:rPr>
              <w:t>,3</w:t>
            </w:r>
          </w:p>
          <w:p>
            <w:pPr>
              <w:pStyle w:val="TableParagraph"/>
              <w:tabs>
                <w:tab w:pos="1304" w:val="left" w:leader="none"/>
                <w:tab w:pos="2678" w:val="left" w:leader="none"/>
              </w:tabs>
              <w:spacing w:line="96" w:lineRule="exact"/>
              <w:ind w:left="616"/>
              <w:rPr>
                <w:position w:val="1"/>
                <w:sz w:val="7"/>
              </w:rPr>
            </w:pPr>
            <w:r>
              <w:rPr>
                <w:w w:val="140"/>
                <w:sz w:val="7"/>
              </w:rPr>
              <w:t>0</w:t>
            </w:r>
            <w:r>
              <w:rPr>
                <w:spacing w:val="-24"/>
                <w:w w:val="140"/>
                <w:sz w:val="7"/>
              </w:rPr>
              <w:t> </w:t>
            </w:r>
            <w:r>
              <w:rPr>
                <w:spacing w:val="-5"/>
                <w:w w:val="140"/>
                <w:sz w:val="7"/>
              </w:rPr>
              <w:t>,9</w:t>
            </w:r>
            <w:r>
              <w:rPr>
                <w:sz w:val="7"/>
              </w:rPr>
              <w:tab/>
            </w:r>
            <w:r>
              <w:rPr>
                <w:w w:val="140"/>
                <w:position w:val="5"/>
                <w:sz w:val="7"/>
              </w:rPr>
              <w:t>0</w:t>
            </w:r>
            <w:r>
              <w:rPr>
                <w:spacing w:val="-24"/>
                <w:w w:val="140"/>
                <w:position w:val="5"/>
                <w:sz w:val="7"/>
              </w:rPr>
              <w:t> </w:t>
            </w:r>
            <w:r>
              <w:rPr>
                <w:spacing w:val="-5"/>
                <w:w w:val="140"/>
                <w:position w:val="5"/>
                <w:sz w:val="7"/>
              </w:rPr>
              <w:t>,7</w:t>
            </w:r>
            <w:r>
              <w:rPr>
                <w:position w:val="5"/>
                <w:sz w:val="7"/>
              </w:rPr>
              <w:tab/>
            </w:r>
            <w:r>
              <w:rPr>
                <w:color w:val="FFFFFF"/>
                <w:w w:val="140"/>
                <w:position w:val="1"/>
                <w:sz w:val="7"/>
              </w:rPr>
              <w:t>0</w:t>
            </w:r>
            <w:r>
              <w:rPr>
                <w:color w:val="FFFFFF"/>
                <w:spacing w:val="-24"/>
                <w:w w:val="140"/>
                <w:position w:val="1"/>
                <w:sz w:val="7"/>
              </w:rPr>
              <w:t> </w:t>
            </w:r>
            <w:r>
              <w:rPr>
                <w:color w:val="FFFFFF"/>
                <w:spacing w:val="-5"/>
                <w:w w:val="140"/>
                <w:position w:val="1"/>
                <w:sz w:val="7"/>
              </w:rPr>
              <w:t>,2</w:t>
            </w:r>
          </w:p>
          <w:p>
            <w:pPr>
              <w:pStyle w:val="TableParagraph"/>
              <w:tabs>
                <w:tab w:pos="1304" w:val="left" w:leader="none"/>
              </w:tabs>
              <w:spacing w:line="163" w:lineRule="auto"/>
              <w:ind w:left="616"/>
              <w:rPr>
                <w:sz w:val="7"/>
              </w:rPr>
            </w:pPr>
            <w:r>
              <w:rPr>
                <w:color w:val="FFFFFF"/>
                <w:w w:val="140"/>
                <w:position w:val="-4"/>
                <w:sz w:val="7"/>
              </w:rPr>
              <w:t>0</w:t>
            </w:r>
            <w:r>
              <w:rPr>
                <w:color w:val="FFFFFF"/>
                <w:spacing w:val="-24"/>
                <w:w w:val="140"/>
                <w:position w:val="-4"/>
                <w:sz w:val="7"/>
              </w:rPr>
              <w:t> </w:t>
            </w:r>
            <w:r>
              <w:rPr>
                <w:color w:val="FFFFFF"/>
                <w:spacing w:val="-5"/>
                <w:w w:val="140"/>
                <w:position w:val="-4"/>
                <w:sz w:val="7"/>
              </w:rPr>
              <w:t>,2</w:t>
            </w:r>
            <w:r>
              <w:rPr>
                <w:color w:val="FFFFFF"/>
                <w:position w:val="-4"/>
                <w:sz w:val="7"/>
              </w:rPr>
              <w:tab/>
            </w:r>
            <w:r>
              <w:rPr>
                <w:color w:val="FFFFFF"/>
                <w:w w:val="140"/>
                <w:sz w:val="7"/>
              </w:rPr>
              <w:t>0</w:t>
            </w:r>
            <w:r>
              <w:rPr>
                <w:color w:val="FFFFFF"/>
                <w:spacing w:val="-24"/>
                <w:w w:val="140"/>
                <w:sz w:val="7"/>
              </w:rPr>
              <w:t> </w:t>
            </w:r>
            <w:r>
              <w:rPr>
                <w:color w:val="FFFFFF"/>
                <w:spacing w:val="-5"/>
                <w:w w:val="140"/>
                <w:sz w:val="7"/>
              </w:rPr>
              <w:t>,2</w:t>
            </w:r>
          </w:p>
          <w:p>
            <w:pPr>
              <w:pStyle w:val="TableParagraph"/>
              <w:ind w:right="289"/>
              <w:jc w:val="right"/>
              <w:rPr>
                <w:rFonts w:ascii="Microsoft Sans Serif" w:hAnsi="Microsoft Sans Serif"/>
                <w:sz w:val="7"/>
              </w:rPr>
            </w:pPr>
            <w:r>
              <w:rPr>
                <w:rFonts w:ascii="Microsoft Sans Serif" w:hAnsi="Microsoft Sans Serif"/>
                <w:color w:val="8E8E8E"/>
                <w:spacing w:val="-2"/>
                <w:w w:val="150"/>
                <w:sz w:val="7"/>
              </w:rPr>
              <w:t>Εκταμιεύσεις</w:t>
            </w:r>
          </w:p>
          <w:p>
            <w:pPr>
              <w:pStyle w:val="TableParagraph"/>
              <w:tabs>
                <w:tab w:pos="3366" w:val="left" w:leader="none"/>
              </w:tabs>
              <w:spacing w:line="196" w:lineRule="auto" w:before="8"/>
              <w:ind w:left="1990"/>
              <w:rPr>
                <w:position w:val="-3"/>
                <w:sz w:val="7"/>
              </w:rPr>
            </w:pPr>
            <w:r>
              <w:rPr>
                <w:w w:val="140"/>
                <w:sz w:val="7"/>
              </w:rPr>
              <w:t>3</w:t>
            </w:r>
            <w:r>
              <w:rPr>
                <w:spacing w:val="-24"/>
                <w:w w:val="140"/>
                <w:sz w:val="7"/>
              </w:rPr>
              <w:t> </w:t>
            </w:r>
            <w:r>
              <w:rPr>
                <w:spacing w:val="-5"/>
                <w:w w:val="140"/>
                <w:sz w:val="7"/>
              </w:rPr>
              <w:t>,9</w:t>
            </w:r>
            <w:r>
              <w:rPr>
                <w:sz w:val="7"/>
              </w:rPr>
              <w:tab/>
            </w:r>
            <w:r>
              <w:rPr>
                <w:w w:val="140"/>
                <w:position w:val="-3"/>
                <w:sz w:val="7"/>
              </w:rPr>
              <w:t>3</w:t>
            </w:r>
            <w:r>
              <w:rPr>
                <w:spacing w:val="-24"/>
                <w:w w:val="140"/>
                <w:position w:val="-3"/>
                <w:sz w:val="7"/>
              </w:rPr>
              <w:t> </w:t>
            </w:r>
            <w:r>
              <w:rPr>
                <w:spacing w:val="-5"/>
                <w:w w:val="140"/>
                <w:position w:val="-3"/>
                <w:sz w:val="7"/>
              </w:rPr>
              <w:t>,5</w:t>
            </w:r>
          </w:p>
          <w:p>
            <w:pPr>
              <w:pStyle w:val="TableParagraph"/>
              <w:tabs>
                <w:tab w:pos="1304" w:val="left" w:leader="none"/>
                <w:tab w:pos="2678" w:val="left" w:leader="none"/>
              </w:tabs>
              <w:spacing w:line="206" w:lineRule="auto"/>
              <w:ind w:left="616"/>
              <w:rPr>
                <w:sz w:val="7"/>
              </w:rPr>
            </w:pPr>
            <w:r>
              <w:rPr>
                <w:w w:val="140"/>
                <w:position w:val="-4"/>
                <w:sz w:val="7"/>
              </w:rPr>
              <w:t>2</w:t>
            </w:r>
            <w:r>
              <w:rPr>
                <w:spacing w:val="-24"/>
                <w:w w:val="140"/>
                <w:position w:val="-4"/>
                <w:sz w:val="7"/>
              </w:rPr>
              <w:t> </w:t>
            </w:r>
            <w:r>
              <w:rPr>
                <w:spacing w:val="-5"/>
                <w:w w:val="140"/>
                <w:position w:val="-4"/>
                <w:sz w:val="7"/>
              </w:rPr>
              <w:t>,6</w:t>
            </w:r>
            <w:r>
              <w:rPr>
                <w:position w:val="-4"/>
                <w:sz w:val="7"/>
              </w:rPr>
              <w:tab/>
            </w:r>
            <w:r>
              <w:rPr>
                <w:w w:val="140"/>
                <w:position w:val="-2"/>
                <w:sz w:val="7"/>
              </w:rPr>
              <w:t>2</w:t>
            </w:r>
            <w:r>
              <w:rPr>
                <w:spacing w:val="-24"/>
                <w:w w:val="140"/>
                <w:position w:val="-2"/>
                <w:sz w:val="7"/>
              </w:rPr>
              <w:t> </w:t>
            </w:r>
            <w:r>
              <w:rPr>
                <w:spacing w:val="-5"/>
                <w:w w:val="140"/>
                <w:position w:val="-2"/>
                <w:sz w:val="7"/>
              </w:rPr>
              <w:t>,8</w:t>
            </w:r>
            <w:r>
              <w:rPr>
                <w:position w:val="-2"/>
                <w:sz w:val="7"/>
              </w:rPr>
              <w:tab/>
            </w:r>
            <w:r>
              <w:rPr>
                <w:w w:val="140"/>
                <w:sz w:val="7"/>
              </w:rPr>
              <w:t>3</w:t>
            </w:r>
            <w:r>
              <w:rPr>
                <w:spacing w:val="-24"/>
                <w:w w:val="140"/>
                <w:sz w:val="7"/>
              </w:rPr>
              <w:t> </w:t>
            </w:r>
            <w:r>
              <w:rPr>
                <w:spacing w:val="-5"/>
                <w:w w:val="140"/>
                <w:sz w:val="7"/>
              </w:rPr>
              <w:t>,0</w:t>
            </w:r>
          </w:p>
          <w:p>
            <w:pPr>
              <w:pStyle w:val="TableParagraph"/>
              <w:rPr>
                <w:sz w:val="7"/>
              </w:rPr>
            </w:pPr>
          </w:p>
          <w:p>
            <w:pPr>
              <w:pStyle w:val="TableParagraph"/>
              <w:spacing w:before="62"/>
              <w:rPr>
                <w:sz w:val="7"/>
              </w:rPr>
            </w:pPr>
          </w:p>
          <w:p>
            <w:pPr>
              <w:pStyle w:val="TableParagraph"/>
              <w:tabs>
                <w:tab w:pos="687" w:val="left" w:leader="none"/>
                <w:tab w:pos="1374" w:val="left" w:leader="none"/>
                <w:tab w:pos="2062" w:val="left" w:leader="none"/>
                <w:tab w:pos="2750" w:val="left" w:leader="none"/>
              </w:tabs>
              <w:ind w:right="641"/>
              <w:jc w:val="center"/>
              <w:rPr>
                <w:sz w:val="7"/>
              </w:rPr>
            </w:pPr>
            <w:r>
              <w:rPr>
                <w:color w:val="FFFFFF"/>
                <w:w w:val="135"/>
                <w:sz w:val="7"/>
              </w:rPr>
              <w:t>(0</w:t>
            </w:r>
            <w:r>
              <w:rPr>
                <w:color w:val="FFFFFF"/>
                <w:spacing w:val="-21"/>
                <w:w w:val="135"/>
                <w:sz w:val="7"/>
              </w:rPr>
              <w:t> </w:t>
            </w:r>
            <w:r>
              <w:rPr>
                <w:color w:val="FFFFFF"/>
                <w:w w:val="135"/>
                <w:sz w:val="7"/>
              </w:rPr>
              <w:t>,2</w:t>
            </w:r>
            <w:r>
              <w:rPr>
                <w:color w:val="FFFFFF"/>
                <w:spacing w:val="-21"/>
                <w:w w:val="135"/>
                <w:sz w:val="7"/>
              </w:rPr>
              <w:t> </w:t>
            </w:r>
            <w:r>
              <w:rPr>
                <w:color w:val="FFFFFF"/>
                <w:spacing w:val="-10"/>
                <w:w w:val="135"/>
                <w:sz w:val="7"/>
              </w:rPr>
              <w:t>)</w:t>
            </w:r>
            <w:r>
              <w:rPr>
                <w:color w:val="FFFFFF"/>
                <w:sz w:val="7"/>
              </w:rPr>
              <w:tab/>
            </w:r>
            <w:r>
              <w:rPr>
                <w:color w:val="FFFFFF"/>
                <w:w w:val="135"/>
                <w:sz w:val="7"/>
              </w:rPr>
              <w:t>(0</w:t>
            </w:r>
            <w:r>
              <w:rPr>
                <w:color w:val="FFFFFF"/>
                <w:spacing w:val="-22"/>
                <w:w w:val="135"/>
                <w:sz w:val="7"/>
              </w:rPr>
              <w:t> </w:t>
            </w:r>
            <w:r>
              <w:rPr>
                <w:color w:val="FFFFFF"/>
                <w:w w:val="135"/>
                <w:sz w:val="7"/>
              </w:rPr>
              <w:t>,2</w:t>
            </w:r>
            <w:r>
              <w:rPr>
                <w:color w:val="FFFFFF"/>
                <w:spacing w:val="-21"/>
                <w:w w:val="135"/>
                <w:sz w:val="7"/>
              </w:rPr>
              <w:t> </w:t>
            </w:r>
            <w:r>
              <w:rPr>
                <w:color w:val="FFFFFF"/>
                <w:spacing w:val="-10"/>
                <w:w w:val="135"/>
                <w:sz w:val="7"/>
              </w:rPr>
              <w:t>)</w:t>
            </w:r>
            <w:r>
              <w:rPr>
                <w:color w:val="FFFFFF"/>
                <w:sz w:val="7"/>
              </w:rPr>
              <w:tab/>
            </w:r>
            <w:r>
              <w:rPr>
                <w:color w:val="FFFFFF"/>
                <w:w w:val="135"/>
                <w:sz w:val="7"/>
              </w:rPr>
              <w:t>(0</w:t>
            </w:r>
            <w:r>
              <w:rPr>
                <w:color w:val="FFFFFF"/>
                <w:spacing w:val="-21"/>
                <w:w w:val="135"/>
                <w:sz w:val="7"/>
              </w:rPr>
              <w:t> </w:t>
            </w:r>
            <w:r>
              <w:rPr>
                <w:color w:val="FFFFFF"/>
                <w:w w:val="135"/>
                <w:sz w:val="7"/>
              </w:rPr>
              <w:t>,2</w:t>
            </w:r>
            <w:r>
              <w:rPr>
                <w:color w:val="FFFFFF"/>
                <w:spacing w:val="-21"/>
                <w:w w:val="135"/>
                <w:sz w:val="7"/>
              </w:rPr>
              <w:t> </w:t>
            </w:r>
            <w:r>
              <w:rPr>
                <w:color w:val="FFFFFF"/>
                <w:spacing w:val="-10"/>
                <w:w w:val="135"/>
                <w:sz w:val="7"/>
              </w:rPr>
              <w:t>)</w:t>
            </w:r>
            <w:r>
              <w:rPr>
                <w:color w:val="FFFFFF"/>
                <w:sz w:val="7"/>
              </w:rPr>
              <w:tab/>
            </w:r>
            <w:r>
              <w:rPr>
                <w:color w:val="FFFFFF"/>
                <w:w w:val="135"/>
                <w:sz w:val="7"/>
              </w:rPr>
              <w:t>(0</w:t>
            </w:r>
            <w:r>
              <w:rPr>
                <w:color w:val="FFFFFF"/>
                <w:spacing w:val="-22"/>
                <w:w w:val="135"/>
                <w:sz w:val="7"/>
              </w:rPr>
              <w:t> </w:t>
            </w:r>
            <w:r>
              <w:rPr>
                <w:color w:val="FFFFFF"/>
                <w:w w:val="135"/>
                <w:sz w:val="7"/>
              </w:rPr>
              <w:t>,2</w:t>
            </w:r>
            <w:r>
              <w:rPr>
                <w:color w:val="FFFFFF"/>
                <w:spacing w:val="-21"/>
                <w:w w:val="135"/>
                <w:sz w:val="7"/>
              </w:rPr>
              <w:t> </w:t>
            </w:r>
            <w:r>
              <w:rPr>
                <w:color w:val="FFFFFF"/>
                <w:spacing w:val="-10"/>
                <w:w w:val="135"/>
                <w:sz w:val="7"/>
              </w:rPr>
              <w:t>)</w:t>
            </w:r>
            <w:r>
              <w:rPr>
                <w:color w:val="FFFFFF"/>
                <w:sz w:val="7"/>
              </w:rPr>
              <w:tab/>
            </w:r>
            <w:r>
              <w:rPr>
                <w:color w:val="FFFFFF"/>
                <w:w w:val="135"/>
                <w:sz w:val="7"/>
              </w:rPr>
              <w:t>(0</w:t>
            </w:r>
            <w:r>
              <w:rPr>
                <w:color w:val="FFFFFF"/>
                <w:spacing w:val="-21"/>
                <w:w w:val="135"/>
                <w:sz w:val="7"/>
              </w:rPr>
              <w:t> </w:t>
            </w:r>
            <w:r>
              <w:rPr>
                <w:color w:val="FFFFFF"/>
                <w:w w:val="135"/>
                <w:sz w:val="7"/>
              </w:rPr>
              <w:t>,2</w:t>
            </w:r>
            <w:r>
              <w:rPr>
                <w:color w:val="FFFFFF"/>
                <w:spacing w:val="-21"/>
                <w:w w:val="135"/>
                <w:sz w:val="7"/>
              </w:rPr>
              <w:t> </w:t>
            </w:r>
            <w:r>
              <w:rPr>
                <w:color w:val="FFFFFF"/>
                <w:spacing w:val="-10"/>
                <w:w w:val="135"/>
                <w:sz w:val="7"/>
              </w:rPr>
              <w:t>)</w:t>
            </w:r>
          </w:p>
          <w:p>
            <w:pPr>
              <w:pStyle w:val="TableParagraph"/>
              <w:spacing w:before="44"/>
              <w:rPr>
                <w:sz w:val="7"/>
              </w:rPr>
            </w:pPr>
          </w:p>
          <w:p>
            <w:pPr>
              <w:pStyle w:val="TableParagraph"/>
              <w:tabs>
                <w:tab w:pos="1264" w:val="left" w:leader="none"/>
                <w:tab w:pos="3327" w:val="left" w:leader="none"/>
                <w:tab w:pos="3904" w:val="left" w:leader="none"/>
              </w:tabs>
              <w:spacing w:line="119" w:lineRule="exact"/>
              <w:ind w:left="576"/>
              <w:rPr>
                <w:rFonts w:ascii="Microsoft Sans Serif" w:hAnsi="Microsoft Sans Serif"/>
                <w:sz w:val="7"/>
              </w:rPr>
            </w:pPr>
            <w:r>
              <w:rPr>
                <w:w w:val="135"/>
                <w:position w:val="6"/>
                <w:sz w:val="7"/>
              </w:rPr>
              <w:t>(1</w:t>
            </w:r>
            <w:r>
              <w:rPr>
                <w:spacing w:val="-21"/>
                <w:w w:val="135"/>
                <w:position w:val="6"/>
                <w:sz w:val="7"/>
              </w:rPr>
              <w:t> </w:t>
            </w:r>
            <w:r>
              <w:rPr>
                <w:w w:val="135"/>
                <w:position w:val="6"/>
                <w:sz w:val="7"/>
              </w:rPr>
              <w:t>,7</w:t>
            </w:r>
            <w:r>
              <w:rPr>
                <w:spacing w:val="-21"/>
                <w:w w:val="135"/>
                <w:position w:val="6"/>
                <w:sz w:val="7"/>
              </w:rPr>
              <w:t> </w:t>
            </w:r>
            <w:r>
              <w:rPr>
                <w:spacing w:val="-10"/>
                <w:w w:val="135"/>
                <w:position w:val="6"/>
                <w:sz w:val="7"/>
              </w:rPr>
              <w:t>)</w:t>
            </w:r>
            <w:r>
              <w:rPr>
                <w:position w:val="6"/>
                <w:sz w:val="7"/>
              </w:rPr>
              <w:tab/>
            </w:r>
            <w:r>
              <w:rPr>
                <w:w w:val="135"/>
                <w:position w:val="1"/>
                <w:sz w:val="7"/>
              </w:rPr>
              <w:t>(2</w:t>
            </w:r>
            <w:r>
              <w:rPr>
                <w:spacing w:val="-21"/>
                <w:w w:val="135"/>
                <w:position w:val="1"/>
                <w:sz w:val="7"/>
              </w:rPr>
              <w:t> </w:t>
            </w:r>
            <w:r>
              <w:rPr>
                <w:w w:val="135"/>
                <w:position w:val="1"/>
                <w:sz w:val="7"/>
              </w:rPr>
              <w:t>,1</w:t>
            </w:r>
            <w:r>
              <w:rPr>
                <w:spacing w:val="-21"/>
                <w:w w:val="135"/>
                <w:position w:val="1"/>
                <w:sz w:val="7"/>
              </w:rPr>
              <w:t> </w:t>
            </w:r>
            <w:r>
              <w:rPr>
                <w:spacing w:val="-10"/>
                <w:w w:val="135"/>
                <w:position w:val="1"/>
                <w:sz w:val="7"/>
              </w:rPr>
              <w:t>)</w:t>
            </w:r>
            <w:r>
              <w:rPr>
                <w:position w:val="1"/>
                <w:sz w:val="7"/>
              </w:rPr>
              <w:tab/>
            </w:r>
            <w:r>
              <w:rPr>
                <w:w w:val="135"/>
                <w:position w:val="3"/>
                <w:sz w:val="7"/>
              </w:rPr>
              <w:t>(2</w:t>
            </w:r>
            <w:r>
              <w:rPr>
                <w:spacing w:val="-21"/>
                <w:w w:val="135"/>
                <w:position w:val="3"/>
                <w:sz w:val="7"/>
              </w:rPr>
              <w:t> </w:t>
            </w:r>
            <w:r>
              <w:rPr>
                <w:w w:val="135"/>
                <w:position w:val="3"/>
                <w:sz w:val="7"/>
              </w:rPr>
              <w:t>,0</w:t>
            </w:r>
            <w:r>
              <w:rPr>
                <w:spacing w:val="-21"/>
                <w:w w:val="135"/>
                <w:position w:val="3"/>
                <w:sz w:val="7"/>
              </w:rPr>
              <w:t> </w:t>
            </w:r>
            <w:r>
              <w:rPr>
                <w:spacing w:val="-10"/>
                <w:w w:val="135"/>
                <w:position w:val="3"/>
                <w:sz w:val="7"/>
              </w:rPr>
              <w:t>)</w:t>
            </w:r>
            <w:r>
              <w:rPr>
                <w:position w:val="3"/>
                <w:sz w:val="7"/>
              </w:rPr>
              <w:tab/>
            </w:r>
            <w:r>
              <w:rPr>
                <w:rFonts w:ascii="Microsoft Sans Serif" w:hAnsi="Microsoft Sans Serif"/>
                <w:color w:val="8E8E8E"/>
                <w:spacing w:val="-2"/>
                <w:w w:val="145"/>
                <w:sz w:val="7"/>
              </w:rPr>
              <w:t>Αποπληρωμές</w:t>
            </w:r>
          </w:p>
          <w:p>
            <w:pPr>
              <w:pStyle w:val="TableParagraph"/>
              <w:tabs>
                <w:tab w:pos="2639" w:val="left" w:leader="none"/>
              </w:tabs>
              <w:spacing w:line="148" w:lineRule="auto"/>
              <w:ind w:left="1951"/>
              <w:rPr>
                <w:sz w:val="7"/>
              </w:rPr>
            </w:pPr>
            <w:r>
              <w:rPr>
                <w:sz w:val="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1648">
                      <wp:simplePos x="0" y="0"/>
                      <wp:positionH relativeFrom="column">
                        <wp:posOffset>1162790</wp:posOffset>
                      </wp:positionH>
                      <wp:positionV relativeFrom="paragraph">
                        <wp:posOffset>462891</wp:posOffset>
                      </wp:positionV>
                      <wp:extent cx="106045" cy="50165"/>
                      <wp:effectExtent l="0" t="0" r="0" b="0"/>
                      <wp:wrapNone/>
                      <wp:docPr id="130" name="Group 1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0" name="Group 130"/>
                            <wpg:cNvGrpSpPr/>
                            <wpg:grpSpPr>
                              <a:xfrm>
                                <a:off x="0" y="0"/>
                                <a:ext cx="106045" cy="50165"/>
                                <a:chExt cx="106045" cy="5016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106045" cy="50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50165">
                                      <a:moveTo>
                                        <a:pt x="105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690"/>
                                      </a:lnTo>
                                      <a:lnTo>
                                        <a:pt x="105549" y="49690"/>
                                      </a:lnTo>
                                      <a:lnTo>
                                        <a:pt x="105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A4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1.558281pt;margin-top:36.448124pt;width:8.35pt;height:3.95pt;mso-position-horizontal-relative:column;mso-position-vertical-relative:paragraph;z-index:-18104832" id="docshapegroup123" coordorigin="1831,729" coordsize="167,79">
                      <v:rect style="position:absolute;left:1831;top:728;width:167;height:79" id="docshape124" filled="true" fillcolor="#a8a4a4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35"/>
                <w:position w:val="-2"/>
                <w:sz w:val="7"/>
              </w:rPr>
              <w:t>(2</w:t>
            </w:r>
            <w:r>
              <w:rPr>
                <w:spacing w:val="-21"/>
                <w:w w:val="135"/>
                <w:position w:val="-2"/>
                <w:sz w:val="7"/>
              </w:rPr>
              <w:t> </w:t>
            </w:r>
            <w:r>
              <w:rPr>
                <w:w w:val="135"/>
                <w:position w:val="-2"/>
                <w:sz w:val="7"/>
              </w:rPr>
              <w:t>,8</w:t>
            </w:r>
            <w:r>
              <w:rPr>
                <w:spacing w:val="-21"/>
                <w:w w:val="135"/>
                <w:position w:val="-2"/>
                <w:sz w:val="7"/>
              </w:rPr>
              <w:t> </w:t>
            </w:r>
            <w:r>
              <w:rPr>
                <w:spacing w:val="-10"/>
                <w:w w:val="135"/>
                <w:position w:val="-2"/>
                <w:sz w:val="7"/>
              </w:rPr>
              <w:t>)</w:t>
            </w:r>
            <w:r>
              <w:rPr>
                <w:position w:val="-2"/>
                <w:sz w:val="7"/>
              </w:rPr>
              <w:tab/>
            </w:r>
            <w:r>
              <w:rPr>
                <w:w w:val="135"/>
                <w:sz w:val="7"/>
              </w:rPr>
              <w:t>(2</w:t>
            </w:r>
            <w:r>
              <w:rPr>
                <w:spacing w:val="-21"/>
                <w:w w:val="135"/>
                <w:sz w:val="7"/>
              </w:rPr>
              <w:t> </w:t>
            </w:r>
            <w:r>
              <w:rPr>
                <w:w w:val="135"/>
                <w:sz w:val="7"/>
              </w:rPr>
              <w:t>,5</w:t>
            </w:r>
            <w:r>
              <w:rPr>
                <w:spacing w:val="-21"/>
                <w:w w:val="135"/>
                <w:sz w:val="7"/>
              </w:rPr>
              <w:t> </w:t>
            </w:r>
            <w:r>
              <w:rPr>
                <w:spacing w:val="-10"/>
                <w:w w:val="135"/>
                <w:sz w:val="7"/>
              </w:rPr>
              <w:t>)</w:t>
            </w:r>
          </w:p>
          <w:p>
            <w:pPr>
              <w:pStyle w:val="TableParagraph"/>
              <w:rPr>
                <w:sz w:val="7"/>
              </w:rPr>
            </w:pPr>
          </w:p>
          <w:p>
            <w:pPr>
              <w:pStyle w:val="TableParagraph"/>
              <w:rPr>
                <w:sz w:val="7"/>
              </w:rPr>
            </w:pPr>
          </w:p>
          <w:p>
            <w:pPr>
              <w:pStyle w:val="TableParagraph"/>
              <w:spacing w:before="56"/>
              <w:rPr>
                <w:sz w:val="7"/>
              </w:rPr>
            </w:pPr>
          </w:p>
          <w:p>
            <w:pPr>
              <w:pStyle w:val="TableParagraph"/>
              <w:ind w:right="637"/>
              <w:jc w:val="center"/>
              <w:rPr>
                <w:sz w:val="7"/>
              </w:rPr>
            </w:pPr>
            <w:r>
              <w:rPr>
                <w:w w:val="165"/>
                <w:sz w:val="7"/>
              </w:rPr>
              <w:t>Β’</w:t>
            </w:r>
            <w:r>
              <w:rPr>
                <w:spacing w:val="-4"/>
                <w:w w:val="165"/>
                <w:sz w:val="7"/>
              </w:rPr>
              <w:t> </w:t>
            </w:r>
            <w:r>
              <w:rPr>
                <w:w w:val="165"/>
                <w:sz w:val="7"/>
              </w:rPr>
              <w:t>τρίμηνο</w:t>
            </w:r>
            <w:r>
              <w:rPr>
                <w:spacing w:val="56"/>
                <w:w w:val="165"/>
                <w:sz w:val="7"/>
              </w:rPr>
              <w:t> </w:t>
            </w:r>
            <w:r>
              <w:rPr>
                <w:w w:val="165"/>
                <w:sz w:val="7"/>
              </w:rPr>
              <w:t>Γ’</w:t>
            </w:r>
            <w:r>
              <w:rPr>
                <w:spacing w:val="-3"/>
                <w:w w:val="165"/>
                <w:sz w:val="7"/>
              </w:rPr>
              <w:t> </w:t>
            </w:r>
            <w:r>
              <w:rPr>
                <w:w w:val="165"/>
                <w:sz w:val="7"/>
              </w:rPr>
              <w:t>τρίμηνο</w:t>
            </w:r>
            <w:r>
              <w:rPr>
                <w:spacing w:val="51"/>
                <w:w w:val="165"/>
                <w:sz w:val="7"/>
              </w:rPr>
              <w:t> </w:t>
            </w:r>
            <w:r>
              <w:rPr>
                <w:w w:val="165"/>
                <w:sz w:val="7"/>
              </w:rPr>
              <w:t>Δ’</w:t>
            </w:r>
            <w:r>
              <w:rPr>
                <w:spacing w:val="-3"/>
                <w:w w:val="165"/>
                <w:sz w:val="7"/>
              </w:rPr>
              <w:t> </w:t>
            </w:r>
            <w:r>
              <w:rPr>
                <w:w w:val="165"/>
                <w:sz w:val="7"/>
              </w:rPr>
              <w:t>τρίμηνο</w:t>
            </w:r>
            <w:r>
              <w:rPr>
                <w:spacing w:val="42"/>
                <w:w w:val="165"/>
                <w:sz w:val="7"/>
              </w:rPr>
              <w:t> </w:t>
            </w:r>
            <w:r>
              <w:rPr>
                <w:w w:val="165"/>
                <w:sz w:val="7"/>
              </w:rPr>
              <w:t>Α’</w:t>
            </w:r>
            <w:r>
              <w:rPr>
                <w:spacing w:val="-3"/>
                <w:w w:val="165"/>
                <w:sz w:val="7"/>
              </w:rPr>
              <w:t> </w:t>
            </w:r>
            <w:r>
              <w:rPr>
                <w:w w:val="165"/>
                <w:sz w:val="7"/>
              </w:rPr>
              <w:t>τρίμηνο</w:t>
            </w:r>
            <w:r>
              <w:rPr>
                <w:spacing w:val="47"/>
                <w:w w:val="165"/>
                <w:sz w:val="7"/>
              </w:rPr>
              <w:t> </w:t>
            </w:r>
            <w:r>
              <w:rPr>
                <w:w w:val="165"/>
                <w:sz w:val="7"/>
              </w:rPr>
              <w:t>Β’</w:t>
            </w:r>
            <w:r>
              <w:rPr>
                <w:spacing w:val="-3"/>
                <w:w w:val="165"/>
                <w:sz w:val="7"/>
              </w:rPr>
              <w:t> </w:t>
            </w:r>
            <w:r>
              <w:rPr>
                <w:spacing w:val="-2"/>
                <w:w w:val="165"/>
                <w:sz w:val="7"/>
              </w:rPr>
              <w:t>τρίμηνο</w:t>
            </w:r>
          </w:p>
          <w:p>
            <w:pPr>
              <w:pStyle w:val="TableParagraph"/>
              <w:tabs>
                <w:tab w:pos="688" w:val="left" w:leader="none"/>
                <w:tab w:pos="1374" w:val="left" w:leader="none"/>
                <w:tab w:pos="2062" w:val="left" w:leader="none"/>
                <w:tab w:pos="2750" w:val="left" w:leader="none"/>
              </w:tabs>
              <w:spacing w:before="5"/>
              <w:ind w:right="641"/>
              <w:jc w:val="center"/>
              <w:rPr>
                <w:sz w:val="7"/>
              </w:rPr>
            </w:pPr>
            <w:r>
              <w:rPr>
                <w:spacing w:val="-4"/>
                <w:w w:val="145"/>
                <w:sz w:val="7"/>
              </w:rPr>
              <w:t>2025</w:t>
            </w:r>
            <w:r>
              <w:rPr>
                <w:sz w:val="7"/>
              </w:rPr>
              <w:tab/>
            </w:r>
            <w:r>
              <w:rPr>
                <w:spacing w:val="-4"/>
                <w:w w:val="145"/>
                <w:sz w:val="7"/>
              </w:rPr>
              <w:t>2025</w:t>
            </w:r>
            <w:r>
              <w:rPr>
                <w:sz w:val="7"/>
              </w:rPr>
              <w:tab/>
            </w:r>
            <w:r>
              <w:rPr>
                <w:spacing w:val="-4"/>
                <w:w w:val="145"/>
                <w:sz w:val="7"/>
              </w:rPr>
              <w:t>2025</w:t>
            </w:r>
            <w:r>
              <w:rPr>
                <w:sz w:val="7"/>
              </w:rPr>
              <w:tab/>
            </w:r>
            <w:r>
              <w:rPr>
                <w:spacing w:val="-4"/>
                <w:w w:val="145"/>
                <w:sz w:val="7"/>
              </w:rPr>
              <w:t>2026</w:t>
            </w:r>
            <w:r>
              <w:rPr>
                <w:sz w:val="7"/>
              </w:rPr>
              <w:tab/>
            </w:r>
            <w:r>
              <w:rPr>
                <w:spacing w:val="-4"/>
                <w:w w:val="145"/>
                <w:sz w:val="7"/>
              </w:rPr>
              <w:t>2026</w:t>
            </w:r>
            <w:r>
              <w:rPr>
                <w:spacing w:val="40"/>
                <w:w w:val="145"/>
                <w:sz w:val="7"/>
              </w:rPr>
              <w:t> </w:t>
            </w:r>
          </w:p>
          <w:p>
            <w:pPr>
              <w:pStyle w:val="TableParagraph"/>
              <w:spacing w:before="63"/>
              <w:rPr>
                <w:sz w:val="7"/>
              </w:rPr>
            </w:pPr>
          </w:p>
          <w:p>
            <w:pPr>
              <w:pStyle w:val="TableParagraph"/>
              <w:tabs>
                <w:tab w:pos="2036" w:val="left" w:leader="none"/>
              </w:tabs>
              <w:ind w:left="570"/>
              <w:rPr>
                <w:sz w:val="7"/>
              </w:rPr>
            </w:pPr>
            <w:r>
              <w:rPr>
                <w:sz w:val="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1136">
                      <wp:simplePos x="0" y="0"/>
                      <wp:positionH relativeFrom="column">
                        <wp:posOffset>232280</wp:posOffset>
                      </wp:positionH>
                      <wp:positionV relativeFrom="paragraph">
                        <wp:posOffset>-28</wp:posOffset>
                      </wp:positionV>
                      <wp:extent cx="106045" cy="50165"/>
                      <wp:effectExtent l="0" t="0" r="0" b="0"/>
                      <wp:wrapNone/>
                      <wp:docPr id="132" name="Group 1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2" name="Group 132"/>
                            <wpg:cNvGrpSpPr/>
                            <wpg:grpSpPr>
                              <a:xfrm>
                                <a:off x="0" y="0"/>
                                <a:ext cx="106045" cy="50165"/>
                                <a:chExt cx="106045" cy="5016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0"/>
                                  <a:ext cx="106045" cy="50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50165">
                                      <a:moveTo>
                                        <a:pt x="1055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690"/>
                                      </a:lnTo>
                                      <a:lnTo>
                                        <a:pt x="105549" y="49690"/>
                                      </a:lnTo>
                                      <a:lnTo>
                                        <a:pt x="1055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F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289766pt;margin-top:-.002245pt;width:8.35pt;height:3.95pt;mso-position-horizontal-relative:column;mso-position-vertical-relative:paragraph;z-index:-18105344" id="docshapegroup125" coordorigin="366,0" coordsize="167,79">
                      <v:rect style="position:absolute;left:365;top:-1;width:167;height:79" id="docshape126" filled="true" fillcolor="#d2dfed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50"/>
                <w:sz w:val="7"/>
              </w:rPr>
              <w:t>Επιχειρήσεις</w:t>
            </w:r>
            <w:r>
              <w:rPr>
                <w:spacing w:val="1"/>
                <w:w w:val="150"/>
                <w:sz w:val="7"/>
              </w:rPr>
              <w:t> </w:t>
            </w:r>
            <w:r>
              <w:rPr>
                <w:w w:val="150"/>
                <w:sz w:val="7"/>
              </w:rPr>
              <w:t>-</w:t>
            </w:r>
            <w:r>
              <w:rPr>
                <w:spacing w:val="4"/>
                <w:w w:val="150"/>
                <w:sz w:val="7"/>
              </w:rPr>
              <w:t> </w:t>
            </w:r>
            <w:r>
              <w:rPr>
                <w:spacing w:val="-2"/>
                <w:w w:val="150"/>
                <w:sz w:val="7"/>
              </w:rPr>
              <w:t>Ελλάδα</w:t>
            </w:r>
            <w:r>
              <w:rPr>
                <w:sz w:val="7"/>
              </w:rPr>
              <w:tab/>
            </w:r>
            <w:r>
              <w:rPr>
                <w:w w:val="150"/>
                <w:sz w:val="7"/>
              </w:rPr>
              <w:t>Ιδιώτες</w:t>
            </w:r>
            <w:r>
              <w:rPr>
                <w:spacing w:val="-5"/>
                <w:w w:val="150"/>
                <w:sz w:val="7"/>
              </w:rPr>
              <w:t> </w:t>
            </w:r>
            <w:r>
              <w:rPr>
                <w:w w:val="150"/>
                <w:sz w:val="7"/>
              </w:rPr>
              <w:t>-</w:t>
            </w:r>
            <w:r>
              <w:rPr>
                <w:w w:val="150"/>
                <w:sz w:val="7"/>
              </w:rPr>
              <w:t> </w:t>
            </w:r>
            <w:r>
              <w:rPr>
                <w:spacing w:val="-2"/>
                <w:w w:val="150"/>
                <w:sz w:val="7"/>
              </w:rPr>
              <w:t>Ελλάδα</w:t>
            </w:r>
          </w:p>
        </w:tc>
        <w:tc>
          <w:tcPr>
            <w:tcW w:w="313" w:type="dxa"/>
            <w:tcBorders>
              <w:top w:val="nil"/>
              <w:left w:val="single" w:sz="4" w:space="0" w:color="4F81BC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8" w:type="dxa"/>
            <w:tcBorders>
              <w:top w:val="single" w:sz="4" w:space="0" w:color="4F81BC"/>
            </w:tcBorders>
          </w:tcPr>
          <w:p>
            <w:pPr>
              <w:pStyle w:val="TableParagraph"/>
              <w:spacing w:before="30"/>
              <w:ind w:left="365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6528">
                      <wp:simplePos x="0" y="0"/>
                      <wp:positionH relativeFrom="column">
                        <wp:posOffset>81299</wp:posOffset>
                      </wp:positionH>
                      <wp:positionV relativeFrom="paragraph">
                        <wp:posOffset>149804</wp:posOffset>
                      </wp:positionV>
                      <wp:extent cx="2892425" cy="904875"/>
                      <wp:effectExtent l="0" t="0" r="0" b="0"/>
                      <wp:wrapNone/>
                      <wp:docPr id="134" name="Group 1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" name="Group 134"/>
                            <wpg:cNvGrpSpPr/>
                            <wpg:grpSpPr>
                              <a:xfrm>
                                <a:off x="0" y="0"/>
                                <a:ext cx="2892425" cy="904875"/>
                                <a:chExt cx="2892425" cy="90487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182289" y="503727"/>
                                  <a:ext cx="2527935" cy="398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935" h="398780">
                                      <a:moveTo>
                                        <a:pt x="213791" y="81267"/>
                                      </a:moveTo>
                                      <a:lnTo>
                                        <a:pt x="0" y="81267"/>
                                      </a:lnTo>
                                      <a:lnTo>
                                        <a:pt x="0" y="398576"/>
                                      </a:lnTo>
                                      <a:lnTo>
                                        <a:pt x="213791" y="398576"/>
                                      </a:lnTo>
                                      <a:lnTo>
                                        <a:pt x="213791" y="81267"/>
                                      </a:lnTo>
                                      <a:close/>
                                    </a:path>
                                    <a:path w="2527935" h="398780">
                                      <a:moveTo>
                                        <a:pt x="792213" y="66967"/>
                                      </a:moveTo>
                                      <a:lnTo>
                                        <a:pt x="578408" y="66967"/>
                                      </a:lnTo>
                                      <a:lnTo>
                                        <a:pt x="578408" y="398576"/>
                                      </a:lnTo>
                                      <a:lnTo>
                                        <a:pt x="792213" y="398576"/>
                                      </a:lnTo>
                                      <a:lnTo>
                                        <a:pt x="792213" y="66967"/>
                                      </a:lnTo>
                                      <a:close/>
                                    </a:path>
                                    <a:path w="2527935" h="398780">
                                      <a:moveTo>
                                        <a:pt x="1370584" y="46812"/>
                                      </a:moveTo>
                                      <a:lnTo>
                                        <a:pt x="1156792" y="46812"/>
                                      </a:lnTo>
                                      <a:lnTo>
                                        <a:pt x="1156792" y="398576"/>
                                      </a:lnTo>
                                      <a:lnTo>
                                        <a:pt x="1370584" y="398576"/>
                                      </a:lnTo>
                                      <a:lnTo>
                                        <a:pt x="1370584" y="46812"/>
                                      </a:lnTo>
                                      <a:close/>
                                    </a:path>
                                    <a:path w="2527935" h="398780">
                                      <a:moveTo>
                                        <a:pt x="1948967" y="33807"/>
                                      </a:moveTo>
                                      <a:lnTo>
                                        <a:pt x="1735175" y="33807"/>
                                      </a:lnTo>
                                      <a:lnTo>
                                        <a:pt x="1735175" y="398576"/>
                                      </a:lnTo>
                                      <a:lnTo>
                                        <a:pt x="1948967" y="398576"/>
                                      </a:lnTo>
                                      <a:lnTo>
                                        <a:pt x="1948967" y="33807"/>
                                      </a:lnTo>
                                      <a:close/>
                                    </a:path>
                                    <a:path w="2527935" h="398780">
                                      <a:moveTo>
                                        <a:pt x="2527350" y="0"/>
                                      </a:moveTo>
                                      <a:lnTo>
                                        <a:pt x="2313495" y="0"/>
                                      </a:lnTo>
                                      <a:lnTo>
                                        <a:pt x="2313495" y="398576"/>
                                      </a:lnTo>
                                      <a:lnTo>
                                        <a:pt x="2527350" y="398576"/>
                                      </a:lnTo>
                                      <a:lnTo>
                                        <a:pt x="2527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0C7D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182289" y="360039"/>
                                  <a:ext cx="2527935" cy="225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935" h="225425">
                                      <a:moveTo>
                                        <a:pt x="213791" y="79971"/>
                                      </a:moveTo>
                                      <a:lnTo>
                                        <a:pt x="0" y="79971"/>
                                      </a:lnTo>
                                      <a:lnTo>
                                        <a:pt x="0" y="224955"/>
                                      </a:lnTo>
                                      <a:lnTo>
                                        <a:pt x="213791" y="224955"/>
                                      </a:lnTo>
                                      <a:lnTo>
                                        <a:pt x="213791" y="79971"/>
                                      </a:lnTo>
                                      <a:close/>
                                    </a:path>
                                    <a:path w="2527935" h="225425">
                                      <a:moveTo>
                                        <a:pt x="792213" y="66319"/>
                                      </a:moveTo>
                                      <a:lnTo>
                                        <a:pt x="578408" y="66319"/>
                                      </a:lnTo>
                                      <a:lnTo>
                                        <a:pt x="578408" y="210654"/>
                                      </a:lnTo>
                                      <a:lnTo>
                                        <a:pt x="792213" y="210654"/>
                                      </a:lnTo>
                                      <a:lnTo>
                                        <a:pt x="792213" y="66319"/>
                                      </a:lnTo>
                                      <a:close/>
                                    </a:path>
                                    <a:path w="2527935" h="225425">
                                      <a:moveTo>
                                        <a:pt x="1370584" y="44856"/>
                                      </a:moveTo>
                                      <a:lnTo>
                                        <a:pt x="1156792" y="44856"/>
                                      </a:lnTo>
                                      <a:lnTo>
                                        <a:pt x="1156792" y="190500"/>
                                      </a:lnTo>
                                      <a:lnTo>
                                        <a:pt x="1370584" y="190500"/>
                                      </a:lnTo>
                                      <a:lnTo>
                                        <a:pt x="1370584" y="44856"/>
                                      </a:lnTo>
                                      <a:close/>
                                    </a:path>
                                    <a:path w="2527935" h="225425">
                                      <a:moveTo>
                                        <a:pt x="1948967" y="33807"/>
                                      </a:moveTo>
                                      <a:lnTo>
                                        <a:pt x="1735175" y="33807"/>
                                      </a:lnTo>
                                      <a:lnTo>
                                        <a:pt x="1735175" y="177495"/>
                                      </a:lnTo>
                                      <a:lnTo>
                                        <a:pt x="1948967" y="177495"/>
                                      </a:lnTo>
                                      <a:lnTo>
                                        <a:pt x="1948967" y="33807"/>
                                      </a:lnTo>
                                      <a:close/>
                                    </a:path>
                                    <a:path w="2527935" h="225425">
                                      <a:moveTo>
                                        <a:pt x="2527350" y="0"/>
                                      </a:moveTo>
                                      <a:lnTo>
                                        <a:pt x="2313495" y="0"/>
                                      </a:lnTo>
                                      <a:lnTo>
                                        <a:pt x="2313495" y="143687"/>
                                      </a:lnTo>
                                      <a:lnTo>
                                        <a:pt x="2527350" y="143687"/>
                                      </a:lnTo>
                                      <a:lnTo>
                                        <a:pt x="2527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F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182289" y="305429"/>
                                  <a:ext cx="252793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935" h="134620">
                                      <a:moveTo>
                                        <a:pt x="213791" y="99466"/>
                                      </a:moveTo>
                                      <a:lnTo>
                                        <a:pt x="0" y="99466"/>
                                      </a:lnTo>
                                      <a:lnTo>
                                        <a:pt x="0" y="134581"/>
                                      </a:lnTo>
                                      <a:lnTo>
                                        <a:pt x="213791" y="134581"/>
                                      </a:lnTo>
                                      <a:lnTo>
                                        <a:pt x="213791" y="99466"/>
                                      </a:lnTo>
                                      <a:close/>
                                    </a:path>
                                    <a:path w="2527935" h="134620">
                                      <a:moveTo>
                                        <a:pt x="792213" y="84518"/>
                                      </a:moveTo>
                                      <a:lnTo>
                                        <a:pt x="578408" y="84518"/>
                                      </a:lnTo>
                                      <a:lnTo>
                                        <a:pt x="578408" y="120929"/>
                                      </a:lnTo>
                                      <a:lnTo>
                                        <a:pt x="792213" y="120929"/>
                                      </a:lnTo>
                                      <a:lnTo>
                                        <a:pt x="792213" y="84518"/>
                                      </a:lnTo>
                                      <a:close/>
                                    </a:path>
                                    <a:path w="2527935" h="134620">
                                      <a:moveTo>
                                        <a:pt x="1370584" y="48755"/>
                                      </a:moveTo>
                                      <a:lnTo>
                                        <a:pt x="1156792" y="48755"/>
                                      </a:lnTo>
                                      <a:lnTo>
                                        <a:pt x="1156792" y="99466"/>
                                      </a:lnTo>
                                      <a:lnTo>
                                        <a:pt x="1370584" y="99466"/>
                                      </a:lnTo>
                                      <a:lnTo>
                                        <a:pt x="1370584" y="48755"/>
                                      </a:lnTo>
                                      <a:close/>
                                    </a:path>
                                    <a:path w="2527935" h="134620">
                                      <a:moveTo>
                                        <a:pt x="1948967" y="35750"/>
                                      </a:moveTo>
                                      <a:lnTo>
                                        <a:pt x="1735175" y="35750"/>
                                      </a:lnTo>
                                      <a:lnTo>
                                        <a:pt x="1735175" y="88417"/>
                                      </a:lnTo>
                                      <a:lnTo>
                                        <a:pt x="1948967" y="88417"/>
                                      </a:lnTo>
                                      <a:lnTo>
                                        <a:pt x="1948967" y="35750"/>
                                      </a:lnTo>
                                      <a:close/>
                                    </a:path>
                                    <a:path w="2527935" h="134620">
                                      <a:moveTo>
                                        <a:pt x="2527350" y="0"/>
                                      </a:moveTo>
                                      <a:lnTo>
                                        <a:pt x="2313495" y="0"/>
                                      </a:lnTo>
                                      <a:lnTo>
                                        <a:pt x="2313495" y="54610"/>
                                      </a:lnTo>
                                      <a:lnTo>
                                        <a:pt x="2527350" y="54610"/>
                                      </a:lnTo>
                                      <a:lnTo>
                                        <a:pt x="2527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A4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902295"/>
                                  <a:ext cx="28924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2425" h="0">
                                      <a:moveTo>
                                        <a:pt x="0" y="0"/>
                                      </a:moveTo>
                                      <a:lnTo>
                                        <a:pt x="2891938" y="0"/>
                                      </a:lnTo>
                                    </a:path>
                                  </a:pathLst>
                                </a:custGeom>
                                <a:ln w="406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288065" y="210492"/>
                                  <a:ext cx="560070" cy="7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0070" h="79375">
                                      <a:moveTo>
                                        <a:pt x="0" y="7926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560070" h="79375">
                                      <a:moveTo>
                                        <a:pt x="0" y="0"/>
                                      </a:moveTo>
                                      <a:lnTo>
                                        <a:pt x="559533" y="0"/>
                                      </a:lnTo>
                                    </a:path>
                                  </a:pathLst>
                                </a:custGeom>
                                <a:ln w="5834">
                                  <a:solidFill>
                                    <a:srgbClr val="95959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828960" y="181896"/>
                                  <a:ext cx="617220" cy="93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7220" h="93980">
                                      <a:moveTo>
                                        <a:pt x="37515" y="61112"/>
                                      </a:moveTo>
                                      <a:lnTo>
                                        <a:pt x="21869" y="61112"/>
                                      </a:lnTo>
                                      <a:lnTo>
                                        <a:pt x="21818" y="28600"/>
                                      </a:lnTo>
                                      <a:lnTo>
                                        <a:pt x="15570" y="28600"/>
                                      </a:lnTo>
                                      <a:lnTo>
                                        <a:pt x="15621" y="61112"/>
                                      </a:lnTo>
                                      <a:lnTo>
                                        <a:pt x="0" y="61112"/>
                                      </a:lnTo>
                                      <a:lnTo>
                                        <a:pt x="18757" y="93624"/>
                                      </a:lnTo>
                                      <a:lnTo>
                                        <a:pt x="34391" y="66522"/>
                                      </a:lnTo>
                                      <a:lnTo>
                                        <a:pt x="37515" y="61112"/>
                                      </a:lnTo>
                                      <a:close/>
                                    </a:path>
                                    <a:path w="617220" h="93980">
                                      <a:moveTo>
                                        <a:pt x="616648" y="32499"/>
                                      </a:moveTo>
                                      <a:lnTo>
                                        <a:pt x="601002" y="32499"/>
                                      </a:lnTo>
                                      <a:lnTo>
                                        <a:pt x="600951" y="0"/>
                                      </a:lnTo>
                                      <a:lnTo>
                                        <a:pt x="594702" y="0"/>
                                      </a:lnTo>
                                      <a:lnTo>
                                        <a:pt x="594753" y="32499"/>
                                      </a:lnTo>
                                      <a:lnTo>
                                        <a:pt x="579132" y="32499"/>
                                      </a:lnTo>
                                      <a:lnTo>
                                        <a:pt x="597890" y="65011"/>
                                      </a:lnTo>
                                      <a:lnTo>
                                        <a:pt x="613511" y="37922"/>
                                      </a:lnTo>
                                      <a:lnTo>
                                        <a:pt x="616648" y="324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5959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885232" y="181884"/>
                                  <a:ext cx="54165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1655" h="94615">
                                      <a:moveTo>
                                        <a:pt x="0" y="0"/>
                                      </a:moveTo>
                                      <a:lnTo>
                                        <a:pt x="541498" y="0"/>
                                      </a:lnTo>
                                    </a:path>
                                    <a:path w="541655" h="94615">
                                      <a:moveTo>
                                        <a:pt x="0" y="9416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834">
                                  <a:solidFill>
                                    <a:srgbClr val="95959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288080" y="6"/>
                                  <a:ext cx="2314575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4575" h="235585">
                                      <a:moveTo>
                                        <a:pt x="1735899" y="202692"/>
                                      </a:moveTo>
                                      <a:lnTo>
                                        <a:pt x="1720265" y="202692"/>
                                      </a:lnTo>
                                      <a:lnTo>
                                        <a:pt x="1720215" y="170180"/>
                                      </a:lnTo>
                                      <a:lnTo>
                                        <a:pt x="1713966" y="170180"/>
                                      </a:lnTo>
                                      <a:lnTo>
                                        <a:pt x="1713966" y="202692"/>
                                      </a:lnTo>
                                      <a:lnTo>
                                        <a:pt x="1698396" y="202692"/>
                                      </a:lnTo>
                                      <a:lnTo>
                                        <a:pt x="1717154" y="235204"/>
                                      </a:lnTo>
                                      <a:lnTo>
                                        <a:pt x="1732775" y="208102"/>
                                      </a:lnTo>
                                      <a:lnTo>
                                        <a:pt x="1735899" y="202692"/>
                                      </a:lnTo>
                                      <a:close/>
                                    </a:path>
                                    <a:path w="2314575" h="235585">
                                      <a:moveTo>
                                        <a:pt x="2314156" y="16421"/>
                                      </a:moveTo>
                                      <a:lnTo>
                                        <a:pt x="2302179" y="11861"/>
                                      </a:lnTo>
                                      <a:lnTo>
                                        <a:pt x="2270963" y="0"/>
                                      </a:lnTo>
                                      <a:lnTo>
                                        <a:pt x="2271649" y="11861"/>
                                      </a:lnTo>
                                      <a:lnTo>
                                        <a:pt x="2271674" y="12166"/>
                                      </a:lnTo>
                                      <a:lnTo>
                                        <a:pt x="0" y="109931"/>
                                      </a:lnTo>
                                      <a:lnTo>
                                        <a:pt x="698" y="122072"/>
                                      </a:lnTo>
                                      <a:lnTo>
                                        <a:pt x="2272385" y="24358"/>
                                      </a:lnTo>
                                      <a:lnTo>
                                        <a:pt x="2273084" y="36512"/>
                                      </a:lnTo>
                                      <a:lnTo>
                                        <a:pt x="2314156" y="164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5959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1464363" y="135072"/>
                                  <a:ext cx="1137920" cy="11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7920" h="111760">
                                      <a:moveTo>
                                        <a:pt x="0" y="35109"/>
                                      </a:moveTo>
                                      <a:lnTo>
                                        <a:pt x="540747" y="35109"/>
                                      </a:lnTo>
                                    </a:path>
                                    <a:path w="1137920" h="111760">
                                      <a:moveTo>
                                        <a:pt x="0" y="111666"/>
                                      </a:moveTo>
                                      <a:lnTo>
                                        <a:pt x="0" y="35109"/>
                                      </a:lnTo>
                                    </a:path>
                                    <a:path w="1137920" h="111760">
                                      <a:moveTo>
                                        <a:pt x="578318" y="0"/>
                                      </a:moveTo>
                                      <a:lnTo>
                                        <a:pt x="1137821" y="0"/>
                                      </a:lnTo>
                                    </a:path>
                                  </a:pathLst>
                                </a:custGeom>
                                <a:ln w="5834">
                                  <a:solidFill>
                                    <a:srgbClr val="95959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2583555" y="135072"/>
                                  <a:ext cx="38100" cy="65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65405">
                                      <a:moveTo>
                                        <a:pt x="15628" y="32508"/>
                                      </a:moveTo>
                                      <a:lnTo>
                                        <a:pt x="0" y="32508"/>
                                      </a:lnTo>
                                      <a:lnTo>
                                        <a:pt x="18816" y="65017"/>
                                      </a:lnTo>
                                      <a:lnTo>
                                        <a:pt x="34393" y="37926"/>
                                      </a:lnTo>
                                      <a:lnTo>
                                        <a:pt x="15628" y="37926"/>
                                      </a:lnTo>
                                      <a:lnTo>
                                        <a:pt x="15628" y="32508"/>
                                      </a:lnTo>
                                      <a:close/>
                                    </a:path>
                                    <a:path w="38100" h="65405">
                                      <a:moveTo>
                                        <a:pt x="21879" y="0"/>
                                      </a:moveTo>
                                      <a:lnTo>
                                        <a:pt x="15628" y="0"/>
                                      </a:lnTo>
                                      <a:lnTo>
                                        <a:pt x="15628" y="37926"/>
                                      </a:lnTo>
                                      <a:lnTo>
                                        <a:pt x="21879" y="37926"/>
                                      </a:lnTo>
                                      <a:lnTo>
                                        <a:pt x="21879" y="0"/>
                                      </a:lnTo>
                                      <a:close/>
                                    </a:path>
                                    <a:path w="38100" h="65405">
                                      <a:moveTo>
                                        <a:pt x="37508" y="32508"/>
                                      </a:moveTo>
                                      <a:lnTo>
                                        <a:pt x="21879" y="32508"/>
                                      </a:lnTo>
                                      <a:lnTo>
                                        <a:pt x="21879" y="37926"/>
                                      </a:lnTo>
                                      <a:lnTo>
                                        <a:pt x="34393" y="37926"/>
                                      </a:lnTo>
                                      <a:lnTo>
                                        <a:pt x="37508" y="325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5959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2042682" y="135072"/>
                                  <a:ext cx="1270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" h="100330">
                                      <a:moveTo>
                                        <a:pt x="0" y="100234"/>
                                      </a:moveTo>
                                      <a:lnTo>
                                        <a:pt x="62" y="0"/>
                                      </a:lnTo>
                                    </a:path>
                                  </a:pathLst>
                                </a:custGeom>
                                <a:ln w="6251">
                                  <a:solidFill>
                                    <a:srgbClr val="95959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225799" y="293719"/>
                                  <a:ext cx="2439670" cy="168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9670" h="168910">
                                      <a:moveTo>
                                        <a:pt x="126022" y="90373"/>
                                      </a:moveTo>
                                      <a:lnTo>
                                        <a:pt x="0" y="90373"/>
                                      </a:lnTo>
                                      <a:lnTo>
                                        <a:pt x="0" y="168389"/>
                                      </a:lnTo>
                                      <a:lnTo>
                                        <a:pt x="126022" y="168389"/>
                                      </a:lnTo>
                                      <a:lnTo>
                                        <a:pt x="126022" y="90373"/>
                                      </a:lnTo>
                                      <a:close/>
                                    </a:path>
                                    <a:path w="2439670" h="168910">
                                      <a:moveTo>
                                        <a:pt x="703681" y="76073"/>
                                      </a:moveTo>
                                      <a:lnTo>
                                        <a:pt x="578408" y="76073"/>
                                      </a:lnTo>
                                      <a:lnTo>
                                        <a:pt x="578408" y="154089"/>
                                      </a:lnTo>
                                      <a:lnTo>
                                        <a:pt x="703681" y="154089"/>
                                      </a:lnTo>
                                      <a:lnTo>
                                        <a:pt x="703681" y="76073"/>
                                      </a:lnTo>
                                      <a:close/>
                                    </a:path>
                                    <a:path w="2439670" h="168910">
                                      <a:moveTo>
                                        <a:pt x="1282814" y="46812"/>
                                      </a:moveTo>
                                      <a:lnTo>
                                        <a:pt x="1157541" y="46812"/>
                                      </a:lnTo>
                                      <a:lnTo>
                                        <a:pt x="1157541" y="124828"/>
                                      </a:lnTo>
                                      <a:lnTo>
                                        <a:pt x="1282814" y="124828"/>
                                      </a:lnTo>
                                      <a:lnTo>
                                        <a:pt x="1282814" y="46812"/>
                                      </a:lnTo>
                                      <a:close/>
                                    </a:path>
                                    <a:path w="2439670" h="168910">
                                      <a:moveTo>
                                        <a:pt x="1861197" y="35763"/>
                                      </a:moveTo>
                                      <a:lnTo>
                                        <a:pt x="1735175" y="35763"/>
                                      </a:lnTo>
                                      <a:lnTo>
                                        <a:pt x="1735175" y="113131"/>
                                      </a:lnTo>
                                      <a:lnTo>
                                        <a:pt x="1861197" y="113131"/>
                                      </a:lnTo>
                                      <a:lnTo>
                                        <a:pt x="1861197" y="35763"/>
                                      </a:lnTo>
                                      <a:close/>
                                    </a:path>
                                    <a:path w="2439670" h="168910">
                                      <a:moveTo>
                                        <a:pt x="2439517" y="0"/>
                                      </a:moveTo>
                                      <a:lnTo>
                                        <a:pt x="2313495" y="0"/>
                                      </a:lnTo>
                                      <a:lnTo>
                                        <a:pt x="2313495" y="78016"/>
                                      </a:lnTo>
                                      <a:lnTo>
                                        <a:pt x="2439517" y="78016"/>
                                      </a:lnTo>
                                      <a:lnTo>
                                        <a:pt x="24395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A4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47" name="Image 147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8491" y="153764"/>
                                  <a:ext cx="219556" cy="1147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8" name="Image 14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6656" y="124506"/>
                                  <a:ext cx="218775" cy="114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1308328" y="10890"/>
                                  <a:ext cx="27368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685" h="111125">
                                      <a:moveTo>
                                        <a:pt x="136531" y="0"/>
                                      </a:moveTo>
                                      <a:lnTo>
                                        <a:pt x="83365" y="4345"/>
                                      </a:lnTo>
                                      <a:lnTo>
                                        <a:pt x="39970" y="16193"/>
                                      </a:lnTo>
                                      <a:lnTo>
                                        <a:pt x="10722" y="33760"/>
                                      </a:lnTo>
                                      <a:lnTo>
                                        <a:pt x="0" y="55264"/>
                                      </a:lnTo>
                                      <a:lnTo>
                                        <a:pt x="10722" y="76791"/>
                                      </a:lnTo>
                                      <a:lnTo>
                                        <a:pt x="39970" y="94355"/>
                                      </a:lnTo>
                                      <a:lnTo>
                                        <a:pt x="83365" y="106191"/>
                                      </a:lnTo>
                                      <a:lnTo>
                                        <a:pt x="136531" y="110528"/>
                                      </a:lnTo>
                                      <a:lnTo>
                                        <a:pt x="189670" y="106191"/>
                                      </a:lnTo>
                                      <a:lnTo>
                                        <a:pt x="233068" y="94356"/>
                                      </a:lnTo>
                                      <a:lnTo>
                                        <a:pt x="262331" y="76791"/>
                                      </a:lnTo>
                                      <a:lnTo>
                                        <a:pt x="273062" y="55264"/>
                                      </a:lnTo>
                                      <a:lnTo>
                                        <a:pt x="262331" y="33760"/>
                                      </a:lnTo>
                                      <a:lnTo>
                                        <a:pt x="233068" y="16193"/>
                                      </a:lnTo>
                                      <a:lnTo>
                                        <a:pt x="189670" y="4345"/>
                                      </a:lnTo>
                                      <a:lnTo>
                                        <a:pt x="136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1308328" y="10890"/>
                                  <a:ext cx="273685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685" h="111125">
                                      <a:moveTo>
                                        <a:pt x="0" y="55264"/>
                                      </a:moveTo>
                                      <a:lnTo>
                                        <a:pt x="10722" y="33760"/>
                                      </a:lnTo>
                                      <a:lnTo>
                                        <a:pt x="39970" y="16193"/>
                                      </a:lnTo>
                                      <a:lnTo>
                                        <a:pt x="83365" y="4345"/>
                                      </a:lnTo>
                                      <a:lnTo>
                                        <a:pt x="136531" y="0"/>
                                      </a:lnTo>
                                      <a:lnTo>
                                        <a:pt x="189670" y="4345"/>
                                      </a:lnTo>
                                      <a:lnTo>
                                        <a:pt x="233068" y="16193"/>
                                      </a:lnTo>
                                      <a:lnTo>
                                        <a:pt x="262331" y="33760"/>
                                      </a:lnTo>
                                      <a:lnTo>
                                        <a:pt x="273062" y="55264"/>
                                      </a:lnTo>
                                      <a:lnTo>
                                        <a:pt x="262331" y="76791"/>
                                      </a:lnTo>
                                      <a:lnTo>
                                        <a:pt x="233068" y="94356"/>
                                      </a:lnTo>
                                      <a:lnTo>
                                        <a:pt x="189670" y="106191"/>
                                      </a:lnTo>
                                      <a:lnTo>
                                        <a:pt x="136531" y="110528"/>
                                      </a:lnTo>
                                      <a:lnTo>
                                        <a:pt x="83365" y="106191"/>
                                      </a:lnTo>
                                      <a:lnTo>
                                        <a:pt x="39970" y="94355"/>
                                      </a:lnTo>
                                      <a:lnTo>
                                        <a:pt x="10722" y="76791"/>
                                      </a:lnTo>
                                      <a:lnTo>
                                        <a:pt x="0" y="552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151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5787" y="112804"/>
                                  <a:ext cx="218775" cy="114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52" name="Image 15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3108" y="77694"/>
                                  <a:ext cx="218837" cy="1147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401528pt;margin-top:11.795652pt;width:227.75pt;height:71.25pt;mso-position-horizontal-relative:column;mso-position-vertical-relative:paragraph;z-index:-18109952" id="docshapegroup127" coordorigin="128,236" coordsize="4555,1425">
                      <v:shape style="position:absolute;left:415;top:1029;width:3981;height:628" id="docshape128" coordorigin="415,1029" coordsize="3981,628" path="m752,1157l415,1157,415,1657,752,1657,752,1157xm1663,1135l1326,1135,1326,1657,1663,1657,1663,1135xm2574,1103l2237,1103,2237,1657,2574,1657,2574,1103xm3484,1082l3148,1082,3148,1657,3484,1657,3484,1082xm4395,1029l4058,1029,4058,1657,4395,1657,4395,1029xe" filled="true" fillcolor="#b0c7dc" stroked="false">
                        <v:path arrowok="t"/>
                        <v:fill type="solid"/>
                      </v:shape>
                      <v:shape style="position:absolute;left:415;top:802;width:3981;height:355" id="docshape129" coordorigin="415,803" coordsize="3981,355" path="m752,929l415,929,415,1157,752,1157,752,929xm1663,907l1326,907,1326,1135,1663,1135,1663,907xm2574,874l2237,874,2237,1103,2574,1103,2574,874xm3484,856l3148,856,3148,1082,3484,1082,3484,856xm4395,803l4058,803,4058,1029,4395,1029,4395,803xe" filled="true" fillcolor="#d2dfed" stroked="false">
                        <v:path arrowok="t"/>
                        <v:fill type="solid"/>
                      </v:shape>
                      <v:shape style="position:absolute;left:415;top:716;width:3981;height:212" id="docshape130" coordorigin="415,717" coordsize="3981,212" path="m752,874l415,874,415,929,752,929,752,874xm1663,850l1326,850,1326,907,1663,907,1663,850xm2574,794l2237,794,2237,874,2574,874,2574,794xm3484,773l3148,773,3148,856,3484,856,3484,773xm4395,717l4058,717,4058,803,4395,803,4395,717xe" filled="true" fillcolor="#a8a4a4" stroked="false">
                        <v:path arrowok="t"/>
                        <v:fill type="solid"/>
                      </v:shape>
                      <v:line style="position:absolute" from="128,1657" to="4682,1657" stroked="true" strokeweight=".319966pt" strokecolor="#000000">
                        <v:stroke dashstyle="solid"/>
                      </v:line>
                      <v:shape style="position:absolute;left:581;top:567;width:882;height:125" id="docshape131" coordorigin="582,567" coordsize="882,125" path="m582,692l582,567m582,567l1463,567e" filled="false" stroked="true" strokeweight=".459429pt" strokecolor="#959595">
                        <v:path arrowok="t"/>
                        <v:stroke dashstyle="solid"/>
                      </v:shape>
                      <v:shape style="position:absolute;left:1433;top:522;width:972;height:148" id="docshape132" coordorigin="1433,522" coordsize="972,148" path="m1493,619l1468,619,1468,567,1458,567,1458,619,1433,619,1463,670,1488,627,1493,619xm2405,574l2380,574,2380,522,2370,522,2370,574,2346,574,2375,625,2400,582,2405,574xe" filled="true" fillcolor="#959595" stroked="false">
                        <v:path arrowok="t"/>
                        <v:fill type="solid"/>
                      </v:shape>
                      <v:shape style="position:absolute;left:1522;top:522;width:853;height:149" id="docshape133" coordorigin="1522,522" coordsize="853,149" path="m1522,522l2375,522m1522,671l1522,522e" filled="false" stroked="true" strokeweight=".459429pt" strokecolor="#959595">
                        <v:path arrowok="t"/>
                        <v:stroke dashstyle="solid"/>
                      </v:shape>
                      <v:shape style="position:absolute;left:581;top:235;width:3645;height:371" id="docshape134" coordorigin="582,236" coordsize="3645,371" path="m3315,555l3291,555,3291,504,3281,504,3281,555,3256,555,3286,606,3310,564,3315,555xm4226,262l4207,255,4158,236,4159,255,4159,255,582,409,583,428,4160,274,4161,293,4226,262xe" filled="true" fillcolor="#959595" stroked="false">
                        <v:path arrowok="t"/>
                        <v:fill type="solid"/>
                      </v:shape>
                      <v:shape style="position:absolute;left:2434;top:448;width:1792;height:176" id="docshape135" coordorigin="2434,449" coordsize="1792,176" path="m2434,504l3286,504m2434,624l2434,504m3345,449l4226,449e" filled="false" stroked="true" strokeweight=".459429pt" strokecolor="#959595">
                        <v:path arrowok="t"/>
                        <v:stroke dashstyle="solid"/>
                      </v:shape>
                      <v:shape style="position:absolute;left:4196;top:448;width:60;height:103" id="docshape136" coordorigin="4197,449" coordsize="60,103" path="m4221,500l4197,500,4226,551,4251,508,4221,508,4221,500xm4231,449l4221,449,4221,508,4231,508,4231,449xm4256,500l4231,500,4231,508,4251,508,4256,500xe" filled="true" fillcolor="#959595" stroked="false">
                        <v:path arrowok="t"/>
                        <v:fill type="solid"/>
                      </v:shape>
                      <v:line style="position:absolute" from="3345,606" to="3345,449" stroked="true" strokeweight=".492238pt" strokecolor="#959595">
                        <v:stroke dashstyle="solid"/>
                      </v:line>
                      <v:shape style="position:absolute;left:483;top:698;width:3842;height:266" id="docshape137" coordorigin="484,698" coordsize="3842,266" path="m682,841l484,841,484,964,682,964,682,841xm1592,818l1395,818,1395,941,1592,941,1592,818xm2504,772l2307,772,2307,895,2504,895,2504,772xm3415,755l3216,755,3216,877,3415,877,3415,755xm4325,698l4127,698,4127,821,4325,821,4325,698xe" filled="true" fillcolor="#a8a4a4" stroked="false">
                        <v:path arrowok="t"/>
                        <v:fill type="solid"/>
                      </v:shape>
                      <v:shape style="position:absolute;left:850;top:478;width:346;height:181" type="#_x0000_t75" id="docshape138" stroked="false">
                        <v:imagedata r:id="rId14" o:title=""/>
                      </v:shape>
                      <v:shape style="position:absolute;left:1776;top:431;width:345;height:181" type="#_x0000_t75" id="docshape139" stroked="false">
                        <v:imagedata r:id="rId15" o:title=""/>
                      </v:shape>
                      <v:shape style="position:absolute;left:2188;top:253;width:431;height:175" id="docshape140" coordorigin="2188,253" coordsize="431,175" path="m2403,253l2320,260,2251,279,2205,306,2188,340,2205,374,2251,402,2320,420,2403,427,2487,420,2555,402,2602,374,2618,340,2602,306,2555,279,2487,260,2403,253xe" filled="true" fillcolor="#ffffff" stroked="false">
                        <v:path arrowok="t"/>
                        <v:fill type="solid"/>
                      </v:shape>
                      <v:shape style="position:absolute;left:2188;top:253;width:431;height:175" id="docshape141" coordorigin="2188,253" coordsize="431,175" path="m2188,340l2205,306,2251,279,2320,260,2403,253,2487,260,2555,279,2602,306,2618,340,2602,374,2555,402,2487,420,2403,427,2320,420,2251,402,2205,374,2188,340xe" filled="false" stroked="true" strokeweight=".326894pt" strokecolor="#808080">
                        <v:path arrowok="t"/>
                        <v:stroke dashstyle="solid"/>
                      </v:shape>
                      <v:shape style="position:absolute;left:2688;top:413;width:345;height:181" type="#_x0000_t75" id="docshape142" stroked="false">
                        <v:imagedata r:id="rId15" o:title=""/>
                      </v:shape>
                      <v:shape style="position:absolute;left:3613;top:358;width:345;height:181" type="#_x0000_t75" id="docshape143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8E8E8E"/>
                <w:w w:val="110"/>
                <w:sz w:val="10"/>
              </w:rPr>
              <w:t>Όμιλος,</w:t>
            </w:r>
            <w:r>
              <w:rPr>
                <w:color w:val="8E8E8E"/>
                <w:spacing w:val="-2"/>
                <w:w w:val="110"/>
                <w:sz w:val="10"/>
              </w:rPr>
              <w:t> </w:t>
            </w:r>
            <w:r>
              <w:rPr>
                <w:color w:val="8E8E8E"/>
                <w:w w:val="110"/>
                <w:sz w:val="10"/>
              </w:rPr>
              <w:t>€</w:t>
            </w:r>
            <w:r>
              <w:rPr>
                <w:color w:val="8E8E8E"/>
                <w:spacing w:val="-2"/>
                <w:w w:val="110"/>
                <w:sz w:val="10"/>
              </w:rPr>
              <w:t> </w:t>
            </w:r>
            <w:r>
              <w:rPr>
                <w:color w:val="8E8E8E"/>
                <w:spacing w:val="-4"/>
                <w:w w:val="110"/>
                <w:sz w:val="10"/>
              </w:rPr>
              <w:t>δισ.</w:t>
            </w:r>
          </w:p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spacing w:line="117" w:lineRule="exact"/>
              <w:ind w:right="14"/>
              <w:jc w:val="center"/>
              <w:rPr>
                <w:sz w:val="10"/>
              </w:rPr>
            </w:pPr>
            <w:r>
              <w:rPr>
                <w:sz w:val="10"/>
              </w:rPr>
              <w:t>+ </w:t>
            </w:r>
            <w:r>
              <w:rPr>
                <w:spacing w:val="-5"/>
                <w:sz w:val="10"/>
              </w:rPr>
              <w:t>14%</w:t>
            </w:r>
          </w:p>
          <w:p>
            <w:pPr>
              <w:pStyle w:val="TableParagraph"/>
              <w:tabs>
                <w:tab w:pos="925" w:val="left" w:leader="none"/>
                <w:tab w:pos="1837" w:val="left" w:leader="none"/>
                <w:tab w:pos="2763" w:val="left" w:leader="none"/>
              </w:tabs>
              <w:spacing w:line="148" w:lineRule="auto" w:before="14"/>
              <w:ind w:right="11"/>
              <w:jc w:val="center"/>
              <w:rPr>
                <w:position w:val="7"/>
                <w:sz w:val="10"/>
              </w:rPr>
            </w:pPr>
            <w:r>
              <w:rPr>
                <w:position w:val="-4"/>
                <w:sz w:val="10"/>
              </w:rPr>
              <w:t>+ </w:t>
            </w:r>
            <w:r>
              <w:rPr>
                <w:spacing w:val="-7"/>
                <w:position w:val="-4"/>
                <w:sz w:val="10"/>
              </w:rPr>
              <w:t>2%</w:t>
            </w:r>
            <w:r>
              <w:rPr>
                <w:position w:val="-4"/>
                <w:sz w:val="10"/>
              </w:rPr>
              <w:tab/>
            </w:r>
            <w:r>
              <w:rPr>
                <w:sz w:val="10"/>
              </w:rPr>
              <w:t>+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-5"/>
                <w:sz w:val="10"/>
              </w:rPr>
              <w:t>5%</w:t>
            </w:r>
            <w:r>
              <w:rPr>
                <w:sz w:val="10"/>
              </w:rPr>
              <w:tab/>
            </w:r>
            <w:r>
              <w:rPr>
                <w:position w:val="2"/>
                <w:sz w:val="10"/>
              </w:rPr>
              <w:t>+</w:t>
            </w:r>
            <w:r>
              <w:rPr>
                <w:spacing w:val="-1"/>
                <w:position w:val="2"/>
                <w:sz w:val="10"/>
              </w:rPr>
              <w:t> </w:t>
            </w:r>
            <w:r>
              <w:rPr>
                <w:spacing w:val="-5"/>
                <w:position w:val="2"/>
                <w:sz w:val="10"/>
              </w:rPr>
              <w:t>2%</w:t>
            </w:r>
            <w:r>
              <w:rPr>
                <w:position w:val="2"/>
                <w:sz w:val="10"/>
              </w:rPr>
              <w:tab/>
            </w:r>
            <w:r>
              <w:rPr>
                <w:position w:val="7"/>
                <w:sz w:val="10"/>
              </w:rPr>
              <w:t>+</w:t>
            </w:r>
            <w:r>
              <w:rPr>
                <w:spacing w:val="-1"/>
                <w:position w:val="7"/>
                <w:sz w:val="10"/>
              </w:rPr>
              <w:t> </w:t>
            </w:r>
            <w:r>
              <w:rPr>
                <w:spacing w:val="-5"/>
                <w:position w:val="7"/>
                <w:sz w:val="10"/>
              </w:rPr>
              <w:t>5%</w:t>
            </w:r>
          </w:p>
          <w:p>
            <w:pPr>
              <w:pStyle w:val="TableParagraph"/>
              <w:tabs>
                <w:tab w:pos="910" w:val="left" w:leader="none"/>
                <w:tab w:pos="1821" w:val="left" w:leader="none"/>
              </w:tabs>
              <w:spacing w:line="128" w:lineRule="exact"/>
              <w:ind w:right="458"/>
              <w:jc w:val="right"/>
              <w:rPr>
                <w:position w:val="7"/>
                <w:sz w:val="10"/>
              </w:rPr>
            </w:pPr>
            <w:r>
              <w:rPr>
                <w:spacing w:val="-4"/>
                <w:sz w:val="10"/>
              </w:rPr>
              <w:t>37,5</w:t>
            </w:r>
            <w:r>
              <w:rPr>
                <w:sz w:val="10"/>
              </w:rPr>
              <w:tab/>
            </w:r>
            <w:r>
              <w:rPr>
                <w:spacing w:val="-4"/>
                <w:position w:val="2"/>
                <w:sz w:val="10"/>
              </w:rPr>
              <w:t>38,2</w:t>
            </w:r>
            <w:r>
              <w:rPr>
                <w:position w:val="2"/>
                <w:sz w:val="10"/>
              </w:rPr>
              <w:tab/>
            </w:r>
            <w:r>
              <w:rPr>
                <w:spacing w:val="-4"/>
                <w:position w:val="7"/>
                <w:sz w:val="10"/>
              </w:rPr>
              <w:t>39,9</w:t>
            </w:r>
          </w:p>
          <w:p>
            <w:pPr>
              <w:pStyle w:val="TableParagraph"/>
              <w:tabs>
                <w:tab w:pos="910" w:val="left" w:leader="none"/>
                <w:tab w:pos="1860" w:val="left" w:leader="none"/>
                <w:tab w:pos="2771" w:val="left" w:leader="none"/>
                <w:tab w:pos="3682" w:val="left" w:leader="none"/>
              </w:tabs>
              <w:spacing w:line="112" w:lineRule="auto"/>
              <w:ind w:right="495"/>
              <w:jc w:val="right"/>
              <w:rPr>
                <w:position w:val="2"/>
                <w:sz w:val="10"/>
              </w:rPr>
            </w:pPr>
            <w:r>
              <w:rPr>
                <w:spacing w:val="-4"/>
                <w:sz w:val="10"/>
              </w:rPr>
              <w:t>34,9</w:t>
            </w:r>
            <w:r>
              <w:rPr>
                <w:sz w:val="10"/>
              </w:rPr>
              <w:tab/>
            </w:r>
            <w:r>
              <w:rPr>
                <w:spacing w:val="-4"/>
                <w:position w:val="2"/>
                <w:sz w:val="10"/>
              </w:rPr>
              <w:t>35,7</w:t>
            </w:r>
            <w:r>
              <w:rPr>
                <w:position w:val="2"/>
                <w:sz w:val="10"/>
              </w:rPr>
              <w:tab/>
            </w:r>
            <w:r>
              <w:rPr>
                <w:spacing w:val="-5"/>
                <w:position w:val="-4"/>
                <w:sz w:val="10"/>
              </w:rPr>
              <w:t>2,6</w:t>
            </w:r>
            <w:r>
              <w:rPr>
                <w:position w:val="-4"/>
                <w:sz w:val="10"/>
              </w:rPr>
              <w:tab/>
            </w:r>
            <w:r>
              <w:rPr>
                <w:spacing w:val="-5"/>
                <w:position w:val="-3"/>
                <w:sz w:val="10"/>
              </w:rPr>
              <w:t>2,7</w:t>
            </w:r>
            <w:r>
              <w:rPr>
                <w:position w:val="-3"/>
                <w:sz w:val="10"/>
              </w:rPr>
              <w:tab/>
            </w:r>
            <w:r>
              <w:rPr>
                <w:spacing w:val="-5"/>
                <w:position w:val="2"/>
                <w:sz w:val="10"/>
              </w:rPr>
              <w:t>2,7</w:t>
            </w:r>
          </w:p>
          <w:p>
            <w:pPr>
              <w:pStyle w:val="TableParagraph"/>
              <w:tabs>
                <w:tab w:pos="910" w:val="left" w:leader="none"/>
                <w:tab w:pos="3644" w:val="left" w:leader="none"/>
              </w:tabs>
              <w:spacing w:line="90" w:lineRule="exact"/>
              <w:ind w:right="7"/>
              <w:jc w:val="center"/>
              <w:rPr>
                <w:sz w:val="10"/>
              </w:rPr>
            </w:pPr>
            <w:r>
              <w:rPr>
                <w:spacing w:val="-5"/>
                <w:position w:val="1"/>
                <w:sz w:val="10"/>
              </w:rPr>
              <w:t>1,7</w:t>
            </w:r>
            <w:r>
              <w:rPr>
                <w:position w:val="1"/>
                <w:sz w:val="10"/>
              </w:rPr>
              <w:tab/>
            </w:r>
            <w:r>
              <w:rPr>
                <w:spacing w:val="-5"/>
                <w:position w:val="4"/>
                <w:sz w:val="10"/>
              </w:rPr>
              <w:t>1,8</w:t>
            </w:r>
            <w:r>
              <w:rPr>
                <w:position w:val="4"/>
                <w:sz w:val="10"/>
              </w:rPr>
              <w:tab/>
            </w:r>
            <w:r>
              <w:rPr>
                <w:spacing w:val="-5"/>
                <w:sz w:val="10"/>
              </w:rPr>
              <w:t>7,2</w:t>
            </w:r>
          </w:p>
          <w:p>
            <w:pPr>
              <w:pStyle w:val="TableParagraph"/>
              <w:tabs>
                <w:tab w:pos="1398" w:val="left" w:leader="none"/>
                <w:tab w:pos="2310" w:val="left" w:leader="none"/>
                <w:tab w:pos="3221" w:val="left" w:leader="none"/>
              </w:tabs>
              <w:spacing w:line="204" w:lineRule="auto"/>
              <w:ind w:left="487"/>
              <w:rPr>
                <w:position w:val="2"/>
                <w:sz w:val="10"/>
              </w:rPr>
            </w:pPr>
            <w:r>
              <w:rPr>
                <w:spacing w:val="-5"/>
                <w:position w:val="-5"/>
                <w:sz w:val="10"/>
              </w:rPr>
              <w:t>7,3</w:t>
            </w:r>
            <w:r>
              <w:rPr>
                <w:position w:val="-5"/>
                <w:sz w:val="10"/>
              </w:rPr>
              <w:tab/>
            </w:r>
            <w:r>
              <w:rPr>
                <w:spacing w:val="-5"/>
                <w:position w:val="-2"/>
                <w:sz w:val="10"/>
              </w:rPr>
              <w:t>7,2</w:t>
            </w:r>
            <w:r>
              <w:rPr>
                <w:position w:val="-2"/>
                <w:sz w:val="10"/>
              </w:rPr>
              <w:tab/>
            </w:r>
            <w:r>
              <w:rPr>
                <w:spacing w:val="-5"/>
                <w:sz w:val="10"/>
              </w:rPr>
              <w:t>7,3</w:t>
            </w:r>
            <w:r>
              <w:rPr>
                <w:sz w:val="10"/>
              </w:rPr>
              <w:tab/>
            </w:r>
            <w:r>
              <w:rPr>
                <w:spacing w:val="-5"/>
                <w:position w:val="2"/>
                <w:sz w:val="10"/>
              </w:rPr>
              <w:t>7,2</w:t>
            </w:r>
          </w:p>
          <w:p>
            <w:pPr>
              <w:pStyle w:val="TableParagraph"/>
              <w:spacing w:before="21"/>
              <w:rPr>
                <w:sz w:val="10"/>
              </w:rPr>
            </w:pPr>
          </w:p>
          <w:p>
            <w:pPr>
              <w:pStyle w:val="TableParagraph"/>
              <w:tabs>
                <w:tab w:pos="1360" w:val="left" w:leader="none"/>
                <w:tab w:pos="2272" w:val="left" w:leader="none"/>
                <w:tab w:pos="3183" w:val="left" w:leader="none"/>
                <w:tab w:pos="4094" w:val="left" w:leader="none"/>
              </w:tabs>
              <w:ind w:left="449"/>
              <w:rPr>
                <w:position w:val="4"/>
                <w:sz w:val="10"/>
              </w:rPr>
            </w:pPr>
            <w:r>
              <w:rPr>
                <w:spacing w:val="-4"/>
                <w:position w:val="-2"/>
                <w:sz w:val="10"/>
              </w:rPr>
              <w:t>25,9</w:t>
            </w:r>
            <w:r>
              <w:rPr>
                <w:position w:val="-2"/>
                <w:sz w:val="10"/>
              </w:rPr>
              <w:tab/>
            </w:r>
            <w:r>
              <w:rPr>
                <w:spacing w:val="-4"/>
                <w:position w:val="-1"/>
                <w:sz w:val="10"/>
              </w:rPr>
              <w:t>26,6</w:t>
            </w:r>
            <w:r>
              <w:rPr>
                <w:position w:val="-1"/>
                <w:sz w:val="10"/>
              </w:rPr>
              <w:tab/>
            </w:r>
            <w:r>
              <w:rPr>
                <w:spacing w:val="-4"/>
                <w:sz w:val="10"/>
              </w:rPr>
              <w:t>27,7</w:t>
            </w:r>
            <w:r>
              <w:rPr>
                <w:sz w:val="10"/>
              </w:rPr>
              <w:tab/>
            </w:r>
            <w:r>
              <w:rPr>
                <w:spacing w:val="-4"/>
                <w:position w:val="1"/>
                <w:sz w:val="10"/>
              </w:rPr>
              <w:t>28,3</w:t>
            </w:r>
            <w:r>
              <w:rPr>
                <w:position w:val="1"/>
                <w:sz w:val="10"/>
              </w:rPr>
              <w:tab/>
            </w:r>
            <w:r>
              <w:rPr>
                <w:spacing w:val="-4"/>
                <w:position w:val="4"/>
                <w:sz w:val="10"/>
              </w:rPr>
              <w:t>30,0</w:t>
            </w:r>
          </w:p>
          <w:p>
            <w:pPr>
              <w:pStyle w:val="TableParagraph"/>
              <w:spacing w:before="99"/>
              <w:rPr>
                <w:sz w:val="10"/>
              </w:rPr>
            </w:pPr>
          </w:p>
          <w:p>
            <w:pPr>
              <w:pStyle w:val="TableParagraph"/>
              <w:tabs>
                <w:tab w:pos="1298" w:val="left" w:leader="none"/>
                <w:tab w:pos="2209" w:val="left" w:leader="none"/>
                <w:tab w:pos="3098" w:val="left" w:leader="none"/>
                <w:tab w:pos="4017" w:val="left" w:leader="none"/>
              </w:tabs>
              <w:spacing w:line="321" w:lineRule="auto"/>
              <w:ind w:left="368" w:right="370" w:firstLine="3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Ιουν-25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Σεπ-25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Δεκ-25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Μαρ-26</w:t>
            </w:r>
            <w:r>
              <w:rPr>
                <w:sz w:val="10"/>
              </w:rPr>
              <w:tab/>
            </w:r>
            <w:r>
              <w:rPr>
                <w:spacing w:val="-2"/>
                <w:w w:val="105"/>
                <w:sz w:val="10"/>
              </w:rPr>
              <w:t>Ιουν-</w:t>
            </w:r>
            <w:r>
              <w:rPr>
                <w:spacing w:val="-2"/>
                <w:w w:val="105"/>
                <w:sz w:val="10"/>
              </w:rPr>
              <w:t>26</w:t>
            </w:r>
            <w:r>
              <w:rPr>
                <w:spacing w:val="4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Διεθνείς</w:t>
            </w:r>
            <w:r>
              <w:rPr>
                <w:spacing w:val="-10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Δραστηριότητες</w:t>
            </w:r>
          </w:p>
          <w:p>
            <w:pPr>
              <w:pStyle w:val="TableParagraph"/>
              <w:spacing w:line="309" w:lineRule="auto"/>
              <w:ind w:left="368" w:right="2881"/>
              <w:rPr>
                <w:sz w:val="10"/>
              </w:rPr>
            </w:pPr>
            <w:r>
              <w:rPr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7040">
                      <wp:simplePos x="0" y="0"/>
                      <wp:positionH relativeFrom="column">
                        <wp:posOffset>104554</wp:posOffset>
                      </wp:positionH>
                      <wp:positionV relativeFrom="paragraph">
                        <wp:posOffset>-96940</wp:posOffset>
                      </wp:positionV>
                      <wp:extent cx="106045" cy="267335"/>
                      <wp:effectExtent l="0" t="0" r="0" b="0"/>
                      <wp:wrapNone/>
                      <wp:docPr id="153" name="Group 1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3" name="Group 153"/>
                            <wpg:cNvGrpSpPr/>
                            <wpg:grpSpPr>
                              <a:xfrm>
                                <a:off x="0" y="0"/>
                                <a:ext cx="106045" cy="267335"/>
                                <a:chExt cx="106045" cy="267335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106045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68580">
                                      <a:moveTo>
                                        <a:pt x="1057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67"/>
                                      </a:lnTo>
                                      <a:lnTo>
                                        <a:pt x="105774" y="68267"/>
                                      </a:lnTo>
                                      <a:lnTo>
                                        <a:pt x="105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A4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99476"/>
                                  <a:ext cx="106045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68580">
                                      <a:moveTo>
                                        <a:pt x="1057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67"/>
                                      </a:lnTo>
                                      <a:lnTo>
                                        <a:pt x="105774" y="68267"/>
                                      </a:lnTo>
                                      <a:lnTo>
                                        <a:pt x="105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F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198953"/>
                                  <a:ext cx="106045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045" h="68580">
                                      <a:moveTo>
                                        <a:pt x="1057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67"/>
                                      </a:lnTo>
                                      <a:lnTo>
                                        <a:pt x="105774" y="68267"/>
                                      </a:lnTo>
                                      <a:lnTo>
                                        <a:pt x="1057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0C7D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232656pt;margin-top:-7.633121pt;width:8.35pt;height:21.05pt;mso-position-horizontal-relative:column;mso-position-vertical-relative:paragraph;z-index:-18109440" id="docshapegroup144" coordorigin="165,-153" coordsize="167,421">
                      <v:rect style="position:absolute;left:164;top:-153;width:167;height:108" id="docshape145" filled="true" fillcolor="#a8a4a4" stroked="false">
                        <v:fill type="solid"/>
                      </v:rect>
                      <v:rect style="position:absolute;left:164;top:4;width:167;height:108" id="docshape146" filled="true" fillcolor="#d2dfed" stroked="false">
                        <v:fill type="solid"/>
                      </v:rect>
                      <v:rect style="position:absolute;left:164;top:160;width:167;height:108" id="docshape147" filled="true" fillcolor="#b0c7dc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10"/>
              </w:rPr>
              <w:t>Ιδιώτες - Ελλάδα</w:t>
            </w:r>
            <w:r>
              <w:rPr>
                <w:spacing w:val="40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Επιχειρήσεις</w:t>
            </w:r>
            <w:r>
              <w:rPr>
                <w:spacing w:val="-8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-</w:t>
            </w:r>
            <w:r>
              <w:rPr>
                <w:spacing w:val="-8"/>
                <w:w w:val="110"/>
                <w:sz w:val="10"/>
              </w:rPr>
              <w:t> </w:t>
            </w:r>
            <w:r>
              <w:rPr>
                <w:spacing w:val="-2"/>
                <w:w w:val="110"/>
                <w:sz w:val="10"/>
              </w:rPr>
              <w:t>Ελλάδα</w:t>
            </w:r>
          </w:p>
        </w:tc>
      </w:tr>
    </w:tbl>
    <w:p>
      <w:pPr>
        <w:pStyle w:val="BodyText"/>
        <w:spacing w:before="200"/>
        <w:rPr>
          <w:sz w:val="20"/>
        </w:rPr>
      </w:pPr>
    </w:p>
    <w:p>
      <w:pPr>
        <w:pStyle w:val="BodyText"/>
        <w:spacing w:before="1"/>
        <w:ind w:left="566" w:right="828"/>
        <w:jc w:val="both"/>
      </w:pPr>
      <w:r>
        <w:rPr>
          <w:spacing w:val="-6"/>
        </w:rPr>
        <w:t>Οι</w:t>
      </w:r>
      <w:r>
        <w:rPr>
          <w:spacing w:val="-7"/>
        </w:rPr>
        <w:t> </w:t>
      </w:r>
      <w:r>
        <w:rPr>
          <w:rFonts w:ascii="Tahoma" w:hAnsi="Tahoma"/>
          <w:b/>
          <w:spacing w:val="-6"/>
        </w:rPr>
        <w:t>νέες</w:t>
      </w:r>
      <w:r>
        <w:rPr>
          <w:rFonts w:ascii="Tahoma" w:hAnsi="Tahoma"/>
          <w:b/>
          <w:spacing w:val="3"/>
        </w:rPr>
        <w:t> </w:t>
      </w:r>
      <w:r>
        <w:rPr>
          <w:rFonts w:ascii="Tahoma" w:hAnsi="Tahoma"/>
          <w:b/>
          <w:spacing w:val="-6"/>
        </w:rPr>
        <w:t>εκταμιεύσεις</w:t>
      </w:r>
      <w:r>
        <w:rPr>
          <w:rFonts w:ascii="Tahoma" w:hAnsi="Tahoma"/>
          <w:b/>
          <w:spacing w:val="4"/>
        </w:rPr>
        <w:t> </w:t>
      </w:r>
      <w:r>
        <w:rPr>
          <w:spacing w:val="-6"/>
        </w:rPr>
        <w:t>στην</w:t>
      </w:r>
      <w:r>
        <w:rPr>
          <w:spacing w:val="-9"/>
        </w:rPr>
        <w:t> </w:t>
      </w:r>
      <w:r>
        <w:rPr>
          <w:spacing w:val="-6"/>
        </w:rPr>
        <w:t>Ελλάδα</w:t>
      </w:r>
      <w:r>
        <w:rPr>
          <w:spacing w:val="-8"/>
        </w:rPr>
        <w:t> </w:t>
      </w:r>
      <w:r>
        <w:rPr>
          <w:spacing w:val="-6"/>
        </w:rPr>
        <w:t>διαμορφώθηκαν</w:t>
      </w:r>
      <w:r>
        <w:rPr>
          <w:spacing w:val="-9"/>
        </w:rPr>
        <w:t> </w:t>
      </w:r>
      <w:r>
        <w:rPr>
          <w:spacing w:val="-6"/>
        </w:rPr>
        <w:t>σε</w:t>
      </w:r>
      <w:r>
        <w:rPr>
          <w:spacing w:val="-9"/>
        </w:rPr>
        <w:t> </w:t>
      </w:r>
      <w:r>
        <w:rPr>
          <w:spacing w:val="-6"/>
        </w:rPr>
        <w:t>€3,8</w:t>
      </w:r>
      <w:r>
        <w:rPr>
          <w:spacing w:val="-7"/>
        </w:rPr>
        <w:t> </w:t>
      </w:r>
      <w:r>
        <w:rPr>
          <w:spacing w:val="-6"/>
        </w:rPr>
        <w:t>δισ.</w:t>
      </w:r>
      <w:r>
        <w:rPr>
          <w:spacing w:val="-9"/>
        </w:rPr>
        <w:t> </w:t>
      </w:r>
      <w:r>
        <w:rPr>
          <w:spacing w:val="-6"/>
        </w:rPr>
        <w:t>το</w:t>
      </w:r>
      <w:r>
        <w:rPr>
          <w:spacing w:val="-8"/>
        </w:rPr>
        <w:t> </w:t>
      </w:r>
      <w:r>
        <w:rPr>
          <w:spacing w:val="-6"/>
        </w:rPr>
        <w:t>β’</w:t>
      </w:r>
      <w:r>
        <w:rPr>
          <w:spacing w:val="-8"/>
        </w:rPr>
        <w:t> </w:t>
      </w:r>
      <w:r>
        <w:rPr>
          <w:spacing w:val="-6"/>
        </w:rPr>
        <w:t>τρίμηνο</w:t>
      </w:r>
      <w:r>
        <w:rPr>
          <w:spacing w:val="-8"/>
        </w:rPr>
        <w:t> </w:t>
      </w:r>
      <w:r>
        <w:rPr>
          <w:spacing w:val="-6"/>
        </w:rPr>
        <w:t>και</w:t>
      </w:r>
      <w:r>
        <w:rPr>
          <w:spacing w:val="-8"/>
        </w:rPr>
        <w:t> </w:t>
      </w:r>
      <w:r>
        <w:rPr>
          <w:spacing w:val="-6"/>
        </w:rPr>
        <w:t>€7</w:t>
      </w:r>
      <w:r>
        <w:rPr>
          <w:spacing w:val="-8"/>
        </w:rPr>
        <w:t> </w:t>
      </w:r>
      <w:r>
        <w:rPr>
          <w:spacing w:val="-6"/>
        </w:rPr>
        <w:t>δισ.</w:t>
      </w:r>
      <w:r>
        <w:rPr>
          <w:spacing w:val="-9"/>
        </w:rPr>
        <w:t> </w:t>
      </w:r>
      <w:r>
        <w:rPr>
          <w:spacing w:val="-6"/>
        </w:rPr>
        <w:t>το</w:t>
      </w:r>
      <w:r>
        <w:rPr>
          <w:spacing w:val="-8"/>
        </w:rPr>
        <w:t> </w:t>
      </w:r>
      <w:r>
        <w:rPr>
          <w:spacing w:val="-6"/>
        </w:rPr>
        <w:t>α’</w:t>
      </w:r>
      <w:r>
        <w:rPr>
          <w:spacing w:val="-8"/>
        </w:rPr>
        <w:t> </w:t>
      </w:r>
      <w:r>
        <w:rPr>
          <w:spacing w:val="-6"/>
        </w:rPr>
        <w:t>εξάμηνο,</w:t>
      </w:r>
      <w:r>
        <w:rPr>
          <w:spacing w:val="-10"/>
        </w:rPr>
        <w:t> </w:t>
      </w:r>
      <w:r>
        <w:rPr>
          <w:spacing w:val="-6"/>
        </w:rPr>
        <w:t>ενισχυμένες </w:t>
      </w:r>
      <w:r>
        <w:rPr>
          <w:w w:val="90"/>
        </w:rPr>
        <w:t>κατά 18% σε τριμηνιαία βάση και 33% σε ετήσια βάση αντίστοιχα, και διατέθηκαν κυρίως στους κλάδους μεταφορών, </w:t>
      </w:r>
      <w:r>
        <w:rPr/>
        <w:t>ενέργειας,</w:t>
      </w:r>
      <w:r>
        <w:rPr>
          <w:spacing w:val="-13"/>
        </w:rPr>
        <w:t> </w:t>
      </w:r>
      <w:r>
        <w:rPr/>
        <w:t>εμπορίου</w:t>
      </w:r>
      <w:r>
        <w:rPr>
          <w:spacing w:val="-14"/>
        </w:rPr>
        <w:t> </w:t>
      </w:r>
      <w:r>
        <w:rPr/>
        <w:t>και</w:t>
      </w:r>
      <w:r>
        <w:rPr>
          <w:spacing w:val="-13"/>
        </w:rPr>
        <w:t> </w:t>
      </w:r>
      <w:r>
        <w:rPr/>
        <w:t>μεταποίησης.</w:t>
      </w:r>
    </w:p>
    <w:p>
      <w:pPr>
        <w:spacing w:line="219" w:lineRule="exact" w:before="111"/>
        <w:ind w:left="566" w:right="0" w:firstLine="0"/>
        <w:jc w:val="both"/>
        <w:rPr>
          <w:sz w:val="18"/>
        </w:rPr>
      </w:pPr>
      <w:r>
        <w:rPr>
          <w:spacing w:val="-6"/>
          <w:sz w:val="18"/>
        </w:rPr>
        <w:t>Το </w:t>
      </w:r>
      <w:r>
        <w:rPr>
          <w:rFonts w:ascii="Tahoma" w:hAnsi="Tahoma"/>
          <w:b/>
          <w:spacing w:val="-6"/>
          <w:sz w:val="18"/>
        </w:rPr>
        <w:t>χαρτοφυλάκιο</w:t>
      </w:r>
      <w:r>
        <w:rPr>
          <w:rFonts w:ascii="Tahoma" w:hAnsi="Tahoma"/>
          <w:b/>
          <w:spacing w:val="4"/>
          <w:sz w:val="18"/>
        </w:rPr>
        <w:t> </w:t>
      </w:r>
      <w:r>
        <w:rPr>
          <w:rFonts w:ascii="Tahoma" w:hAnsi="Tahoma"/>
          <w:b/>
          <w:spacing w:val="-6"/>
          <w:sz w:val="18"/>
        </w:rPr>
        <w:t>Εξυπηρετούμενων</w:t>
      </w:r>
      <w:r>
        <w:rPr>
          <w:rFonts w:ascii="Tahoma" w:hAnsi="Tahoma"/>
          <w:b/>
          <w:spacing w:val="3"/>
          <w:sz w:val="18"/>
        </w:rPr>
        <w:t> </w:t>
      </w:r>
      <w:r>
        <w:rPr>
          <w:rFonts w:ascii="Tahoma" w:hAnsi="Tahoma"/>
          <w:b/>
          <w:spacing w:val="-6"/>
          <w:sz w:val="18"/>
        </w:rPr>
        <w:t>Δανείων</w:t>
      </w:r>
      <w:r>
        <w:rPr>
          <w:rFonts w:ascii="Tahoma" w:hAnsi="Tahoma"/>
          <w:b/>
          <w:spacing w:val="6"/>
          <w:sz w:val="18"/>
        </w:rPr>
        <w:t> </w:t>
      </w:r>
      <w:r>
        <w:rPr>
          <w:spacing w:val="-6"/>
          <w:sz w:val="18"/>
        </w:rPr>
        <w:t>του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Ομίλου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(εξαιρουμένων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των</w:t>
      </w:r>
      <w:r>
        <w:rPr>
          <w:spacing w:val="-8"/>
          <w:sz w:val="18"/>
        </w:rPr>
        <w:t> </w:t>
      </w:r>
      <w:r>
        <w:rPr>
          <w:spacing w:val="-6"/>
          <w:sz w:val="18"/>
        </w:rPr>
        <w:t>ομολογιών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υψηλής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εξοφλητικής</w:t>
      </w:r>
    </w:p>
    <w:p>
      <w:pPr>
        <w:pStyle w:val="BodyText"/>
        <w:ind w:left="566" w:right="749"/>
      </w:pPr>
      <w:r>
        <w:rPr>
          <w:w w:val="90"/>
        </w:rPr>
        <w:t>προτεραιότητας ύψους €4,9 δισ. των συναλλαγών «Galaxy» και «Cosmos») ενισχύθηκε κατά 4,7% το β’ τρίμηνο και </w:t>
      </w:r>
      <w:r>
        <w:rPr>
          <w:spacing w:val="-6"/>
        </w:rPr>
        <w:t>ανήλθε</w:t>
      </w:r>
      <w:r>
        <w:rPr>
          <w:spacing w:val="-13"/>
        </w:rPr>
        <w:t> </w:t>
      </w:r>
      <w:r>
        <w:rPr>
          <w:spacing w:val="-6"/>
        </w:rPr>
        <w:t>σε</w:t>
      </w:r>
      <w:r>
        <w:rPr>
          <w:spacing w:val="-13"/>
        </w:rPr>
        <w:t> </w:t>
      </w:r>
      <w:r>
        <w:rPr>
          <w:spacing w:val="-6"/>
        </w:rPr>
        <w:t>€39,9</w:t>
      </w:r>
      <w:r>
        <w:rPr>
          <w:spacing w:val="-12"/>
        </w:rPr>
        <w:t> </w:t>
      </w:r>
      <w:r>
        <w:rPr>
          <w:spacing w:val="-6"/>
        </w:rPr>
        <w:t>δισ.</w:t>
      </w:r>
      <w:r>
        <w:rPr>
          <w:spacing w:val="-13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ετήσια</w:t>
      </w:r>
      <w:r>
        <w:rPr>
          <w:spacing w:val="-13"/>
        </w:rPr>
        <w:t> </w:t>
      </w:r>
      <w:r>
        <w:rPr>
          <w:spacing w:val="-6"/>
        </w:rPr>
        <w:t>βάση,</w:t>
      </w:r>
      <w:r>
        <w:rPr>
          <w:spacing w:val="-13"/>
        </w:rPr>
        <w:t> </w:t>
      </w:r>
      <w:r>
        <w:rPr>
          <w:spacing w:val="-6"/>
        </w:rPr>
        <w:t>τα</w:t>
      </w:r>
      <w:r>
        <w:rPr>
          <w:spacing w:val="-13"/>
        </w:rPr>
        <w:t> </w:t>
      </w:r>
      <w:r>
        <w:rPr>
          <w:spacing w:val="-6"/>
        </w:rPr>
        <w:t>Εξυπηρετούμενα</w:t>
      </w:r>
      <w:r>
        <w:rPr>
          <w:spacing w:val="-15"/>
        </w:rPr>
        <w:t> </w:t>
      </w:r>
      <w:r>
        <w:rPr>
          <w:spacing w:val="-6"/>
        </w:rPr>
        <w:t>Δάνεια</w:t>
      </w:r>
      <w:r>
        <w:rPr>
          <w:spacing w:val="-13"/>
        </w:rPr>
        <w:t> </w:t>
      </w:r>
      <w:r>
        <w:rPr>
          <w:spacing w:val="-6"/>
        </w:rPr>
        <w:t>αυξήθηκαν</w:t>
      </w:r>
      <w:r>
        <w:rPr>
          <w:spacing w:val="-11"/>
        </w:rPr>
        <w:t> </w:t>
      </w:r>
      <w:r>
        <w:rPr>
          <w:spacing w:val="-6"/>
        </w:rPr>
        <w:t>κατά</w:t>
      </w:r>
      <w:r>
        <w:rPr>
          <w:spacing w:val="-13"/>
        </w:rPr>
        <w:t> </w:t>
      </w:r>
      <w:r>
        <w:rPr>
          <w:spacing w:val="-6"/>
        </w:rPr>
        <w:t>14,3%.</w:t>
      </w:r>
    </w:p>
    <w:p>
      <w:pPr>
        <w:pStyle w:val="BodyText"/>
        <w:spacing w:before="112"/>
        <w:ind w:left="566" w:right="749"/>
      </w:pPr>
      <w:r>
        <w:rPr>
          <w:spacing w:val="-6"/>
        </w:rPr>
        <w:t>Η</w:t>
      </w:r>
      <w:r>
        <w:rPr>
          <w:spacing w:val="-14"/>
        </w:rPr>
        <w:t> </w:t>
      </w:r>
      <w:r>
        <w:rPr>
          <w:rFonts w:ascii="Tahoma" w:hAnsi="Tahoma"/>
          <w:b/>
          <w:spacing w:val="-6"/>
        </w:rPr>
        <w:t>καθαρή</w:t>
      </w:r>
      <w:r>
        <w:rPr>
          <w:rFonts w:ascii="Tahoma" w:hAnsi="Tahoma"/>
          <w:b/>
          <w:spacing w:val="-2"/>
        </w:rPr>
        <w:t> </w:t>
      </w:r>
      <w:r>
        <w:rPr>
          <w:rFonts w:ascii="Tahoma" w:hAnsi="Tahoma"/>
          <w:b/>
          <w:spacing w:val="-6"/>
        </w:rPr>
        <w:t>πιστωτική</w:t>
      </w:r>
      <w:r>
        <w:rPr>
          <w:rFonts w:ascii="Tahoma" w:hAnsi="Tahoma"/>
          <w:b/>
          <w:spacing w:val="-3"/>
        </w:rPr>
        <w:t> </w:t>
      </w:r>
      <w:r>
        <w:rPr>
          <w:rFonts w:ascii="Tahoma" w:hAnsi="Tahoma"/>
          <w:b/>
          <w:spacing w:val="-6"/>
        </w:rPr>
        <w:t>επέκταση</w:t>
      </w:r>
      <w:r>
        <w:rPr>
          <w:rFonts w:ascii="Tahoma" w:hAnsi="Tahoma"/>
          <w:b/>
          <w:spacing w:val="-10"/>
        </w:rPr>
        <w:t> </w:t>
      </w:r>
      <w:r>
        <w:rPr>
          <w:spacing w:val="-6"/>
        </w:rPr>
        <w:t>στην</w:t>
      </w:r>
      <w:r>
        <w:rPr>
          <w:spacing w:val="-14"/>
        </w:rPr>
        <w:t> </w:t>
      </w:r>
      <w:r>
        <w:rPr>
          <w:spacing w:val="-6"/>
        </w:rPr>
        <w:t>Ελλάδα</w:t>
      </w:r>
      <w:r>
        <w:rPr>
          <w:spacing w:val="-13"/>
        </w:rPr>
        <w:t> </w:t>
      </w:r>
      <w:r>
        <w:rPr>
          <w:spacing w:val="-6"/>
        </w:rPr>
        <w:t>διαμορφώθηκε</w:t>
      </w:r>
      <w:r>
        <w:rPr>
          <w:spacing w:val="-14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€1,6</w:t>
      </w:r>
      <w:r>
        <w:rPr>
          <w:spacing w:val="-12"/>
        </w:rPr>
        <w:t> </w:t>
      </w:r>
      <w:r>
        <w:rPr>
          <w:spacing w:val="-6"/>
        </w:rPr>
        <w:t>δισ.</w:t>
      </w:r>
      <w:r>
        <w:rPr>
          <w:spacing w:val="-14"/>
        </w:rPr>
        <w:t> </w:t>
      </w:r>
      <w:r>
        <w:rPr>
          <w:spacing w:val="-6"/>
        </w:rPr>
        <w:t>το</w:t>
      </w:r>
      <w:r>
        <w:rPr>
          <w:spacing w:val="-13"/>
        </w:rPr>
        <w:t> </w:t>
      </w:r>
      <w:r>
        <w:rPr>
          <w:spacing w:val="-6"/>
        </w:rPr>
        <w:t>β’</w:t>
      </w:r>
      <w:r>
        <w:rPr>
          <w:spacing w:val="-13"/>
        </w:rPr>
        <w:t> </w:t>
      </w:r>
      <w:r>
        <w:rPr>
          <w:spacing w:val="-6"/>
        </w:rPr>
        <w:t>τρίμηνο,</w:t>
      </w:r>
      <w:r>
        <w:rPr>
          <w:spacing w:val="-13"/>
        </w:rPr>
        <w:t> </w:t>
      </w:r>
      <w:r>
        <w:rPr>
          <w:spacing w:val="-6"/>
        </w:rPr>
        <w:t>αντανακλώντας</w:t>
      </w:r>
      <w:r>
        <w:rPr>
          <w:spacing w:val="-12"/>
        </w:rPr>
        <w:t> </w:t>
      </w:r>
      <w:r>
        <w:rPr>
          <w:spacing w:val="-6"/>
        </w:rPr>
        <w:t>την</w:t>
      </w:r>
      <w:r>
        <w:rPr>
          <w:spacing w:val="-14"/>
        </w:rPr>
        <w:t> </w:t>
      </w:r>
      <w:r>
        <w:rPr>
          <w:spacing w:val="-6"/>
        </w:rPr>
        <w:t>αυξημένη </w:t>
      </w:r>
      <w:r>
        <w:rPr>
          <w:spacing w:val="-4"/>
        </w:rPr>
        <w:t>ζήτηση</w:t>
      </w:r>
      <w:r>
        <w:rPr>
          <w:spacing w:val="-9"/>
        </w:rPr>
        <w:t> </w:t>
      </w:r>
      <w:r>
        <w:rPr>
          <w:spacing w:val="-4"/>
        </w:rPr>
        <w:t>κυρίως</w:t>
      </w:r>
      <w:r>
        <w:rPr>
          <w:spacing w:val="-8"/>
        </w:rPr>
        <w:t> </w:t>
      </w:r>
      <w:r>
        <w:rPr>
          <w:spacing w:val="-4"/>
        </w:rPr>
        <w:t>από</w:t>
      </w:r>
      <w:r>
        <w:rPr>
          <w:spacing w:val="-8"/>
        </w:rPr>
        <w:t> </w:t>
      </w:r>
      <w:r>
        <w:rPr>
          <w:spacing w:val="-4"/>
        </w:rPr>
        <w:t>επιχειρήσεις,</w:t>
      </w:r>
      <w:r>
        <w:rPr>
          <w:spacing w:val="-8"/>
        </w:rPr>
        <w:t> </w:t>
      </w:r>
      <w:r>
        <w:rPr>
          <w:spacing w:val="-4"/>
        </w:rPr>
        <w:t>ενώ</w:t>
      </w:r>
      <w:r>
        <w:rPr>
          <w:spacing w:val="-10"/>
        </w:rPr>
        <w:t> </w:t>
      </w:r>
      <w:r>
        <w:rPr>
          <w:spacing w:val="-4"/>
        </w:rPr>
        <w:t>το</w:t>
      </w:r>
      <w:r>
        <w:rPr>
          <w:spacing w:val="-8"/>
        </w:rPr>
        <w:t> </w:t>
      </w:r>
      <w:r>
        <w:rPr>
          <w:spacing w:val="-4"/>
        </w:rPr>
        <w:t>α’</w:t>
      </w:r>
      <w:r>
        <w:rPr>
          <w:spacing w:val="-8"/>
        </w:rPr>
        <w:t> </w:t>
      </w:r>
      <w:r>
        <w:rPr>
          <w:spacing w:val="-4"/>
        </w:rPr>
        <w:t>εξάμηνο</w:t>
      </w:r>
      <w:r>
        <w:rPr>
          <w:spacing w:val="-11"/>
        </w:rPr>
        <w:t> </w:t>
      </w:r>
      <w:r>
        <w:rPr>
          <w:spacing w:val="-4"/>
        </w:rPr>
        <w:t>ανήλθε</w:t>
      </w:r>
      <w:r>
        <w:rPr>
          <w:spacing w:val="-9"/>
        </w:rPr>
        <w:t> </w:t>
      </w:r>
      <w:r>
        <w:rPr>
          <w:spacing w:val="-4"/>
        </w:rPr>
        <w:t>σε</w:t>
      </w:r>
      <w:r>
        <w:rPr>
          <w:spacing w:val="-9"/>
        </w:rPr>
        <w:t> </w:t>
      </w:r>
      <w:r>
        <w:rPr>
          <w:spacing w:val="-4"/>
        </w:rPr>
        <w:t>€2,2</w:t>
      </w:r>
      <w:r>
        <w:rPr>
          <w:spacing w:val="-7"/>
        </w:rPr>
        <w:t> </w:t>
      </w:r>
      <w:r>
        <w:rPr>
          <w:spacing w:val="-4"/>
        </w:rPr>
        <w:t>δισ.</w:t>
      </w:r>
    </w:p>
    <w:p>
      <w:pPr>
        <w:spacing w:before="205"/>
        <w:ind w:left="566" w:right="0" w:firstLine="0"/>
        <w:jc w:val="left"/>
        <w:rPr>
          <w:sz w:val="20"/>
        </w:rPr>
      </w:pPr>
      <w:r>
        <w:rPr>
          <w:color w:val="E2882D"/>
          <w:w w:val="90"/>
          <w:sz w:val="20"/>
        </w:rPr>
        <w:t>Αύξηση</w:t>
      </w:r>
      <w:r>
        <w:rPr>
          <w:color w:val="E2882D"/>
          <w:spacing w:val="-1"/>
          <w:sz w:val="20"/>
        </w:rPr>
        <w:t> </w:t>
      </w:r>
      <w:r>
        <w:rPr>
          <w:color w:val="E2882D"/>
          <w:w w:val="90"/>
          <w:sz w:val="20"/>
        </w:rPr>
        <w:t>καταθέσεων</w:t>
      </w:r>
      <w:r>
        <w:rPr>
          <w:color w:val="E2882D"/>
          <w:spacing w:val="-3"/>
          <w:sz w:val="20"/>
        </w:rPr>
        <w:t> </w:t>
      </w:r>
      <w:r>
        <w:rPr>
          <w:color w:val="E2882D"/>
          <w:w w:val="90"/>
          <w:sz w:val="20"/>
        </w:rPr>
        <w:t>κατά</w:t>
      </w:r>
      <w:r>
        <w:rPr>
          <w:color w:val="E2882D"/>
          <w:spacing w:val="2"/>
          <w:sz w:val="20"/>
        </w:rPr>
        <w:t> </w:t>
      </w:r>
      <w:r>
        <w:rPr>
          <w:color w:val="E2882D"/>
          <w:w w:val="90"/>
          <w:sz w:val="20"/>
        </w:rPr>
        <w:t>€3,1</w:t>
      </w:r>
      <w:r>
        <w:rPr>
          <w:color w:val="E2882D"/>
          <w:spacing w:val="-3"/>
          <w:sz w:val="20"/>
        </w:rPr>
        <w:t> </w:t>
      </w:r>
      <w:r>
        <w:rPr>
          <w:color w:val="E2882D"/>
          <w:w w:val="90"/>
          <w:sz w:val="20"/>
        </w:rPr>
        <w:t>δισ.</w:t>
      </w:r>
      <w:r>
        <w:rPr>
          <w:color w:val="E2882D"/>
          <w:spacing w:val="-1"/>
          <w:sz w:val="20"/>
        </w:rPr>
        <w:t> </w:t>
      </w:r>
      <w:r>
        <w:rPr>
          <w:color w:val="E2882D"/>
          <w:w w:val="90"/>
          <w:sz w:val="20"/>
        </w:rPr>
        <w:t>ή</w:t>
      </w:r>
      <w:r>
        <w:rPr>
          <w:color w:val="E2882D"/>
          <w:spacing w:val="-2"/>
          <w:sz w:val="20"/>
        </w:rPr>
        <w:t> </w:t>
      </w:r>
      <w:r>
        <w:rPr>
          <w:color w:val="E2882D"/>
          <w:w w:val="90"/>
          <w:sz w:val="20"/>
        </w:rPr>
        <w:t>5,5%</w:t>
      </w:r>
      <w:r>
        <w:rPr>
          <w:color w:val="E2882D"/>
          <w:spacing w:val="-2"/>
          <w:sz w:val="20"/>
        </w:rPr>
        <w:t> </w:t>
      </w:r>
      <w:r>
        <w:rPr>
          <w:color w:val="E2882D"/>
          <w:w w:val="90"/>
          <w:sz w:val="20"/>
        </w:rPr>
        <w:t>σε</w:t>
      </w:r>
      <w:r>
        <w:rPr>
          <w:color w:val="E2882D"/>
          <w:spacing w:val="1"/>
          <w:sz w:val="20"/>
        </w:rPr>
        <w:t> </w:t>
      </w:r>
      <w:r>
        <w:rPr>
          <w:color w:val="E2882D"/>
          <w:w w:val="90"/>
          <w:sz w:val="20"/>
        </w:rPr>
        <w:t>τριμηνιαία</w:t>
      </w:r>
      <w:r>
        <w:rPr>
          <w:color w:val="E2882D"/>
          <w:spacing w:val="-1"/>
          <w:sz w:val="20"/>
        </w:rPr>
        <w:t> </w:t>
      </w:r>
      <w:r>
        <w:rPr>
          <w:color w:val="E2882D"/>
          <w:spacing w:val="-4"/>
          <w:w w:val="90"/>
          <w:sz w:val="20"/>
        </w:rPr>
        <w:t>βάση</w:t>
      </w:r>
    </w:p>
    <w:p>
      <w:pPr>
        <w:pStyle w:val="BodyText"/>
        <w:spacing w:before="1" w:after="1"/>
        <w:rPr>
          <w:sz w:val="9"/>
        </w:rPr>
      </w:pPr>
    </w:p>
    <w:tbl>
      <w:tblPr>
        <w:tblW w:w="0" w:type="auto"/>
        <w:jc w:val="left"/>
        <w:tblInd w:w="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5"/>
        <w:gridCol w:w="178"/>
        <w:gridCol w:w="312"/>
        <w:gridCol w:w="4817"/>
      </w:tblGrid>
      <w:tr>
        <w:trPr>
          <w:trHeight w:val="398" w:hRule="atLeast"/>
        </w:trPr>
        <w:tc>
          <w:tcPr>
            <w:tcW w:w="4645" w:type="dxa"/>
            <w:tcBorders>
              <w:bottom w:val="single" w:sz="4" w:space="0" w:color="4374B8"/>
            </w:tcBorders>
          </w:tcPr>
          <w:p>
            <w:pPr>
              <w:pStyle w:val="TableParagraph"/>
              <w:spacing w:line="219" w:lineRule="exact"/>
              <w:ind w:left="11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Μεταβολή</w:t>
            </w:r>
            <w:r>
              <w:rPr>
                <w:rFonts w:ascii="Calibri" w:hAnsi="Calibri"/>
                <w:b/>
                <w:spacing w:val="-5"/>
                <w:sz w:val="18"/>
              </w:rPr>
              <w:t> </w:t>
            </w:r>
            <w:r>
              <w:rPr>
                <w:rFonts w:ascii="Calibri" w:hAnsi="Calibri"/>
                <w:b/>
                <w:spacing w:val="-2"/>
                <w:sz w:val="18"/>
              </w:rPr>
              <w:t>καταθέσεων</w:t>
            </w:r>
          </w:p>
        </w:tc>
        <w:tc>
          <w:tcPr>
            <w:tcW w:w="178" w:type="dxa"/>
            <w:tcBorders>
              <w:bottom w:val="single" w:sz="4" w:space="0" w:color="4374B8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tcBorders>
              <w:bottom w:val="single" w:sz="4" w:space="0" w:color="4374B8"/>
            </w:tcBorders>
          </w:tcPr>
          <w:p>
            <w:pPr>
              <w:pStyle w:val="TableParagraph"/>
              <w:spacing w:line="181" w:lineRule="exact"/>
              <w:ind w:left="112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Δείκτης</w:t>
            </w:r>
            <w:r>
              <w:rPr>
                <w:rFonts w:ascii="Calibri" w:hAnsi="Calibri"/>
                <w:b/>
                <w:spacing w:val="-2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Κάλυψης</w:t>
            </w:r>
            <w:r>
              <w:rPr>
                <w:rFonts w:ascii="Calibri" w:hAnsi="Calibri"/>
                <w:b/>
                <w:spacing w:val="-2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Ρευστότητας</w:t>
            </w:r>
            <w:r>
              <w:rPr>
                <w:rFonts w:ascii="Calibri" w:hAnsi="Calibri"/>
                <w:b/>
                <w:spacing w:val="-2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και</w:t>
            </w:r>
            <w:r>
              <w:rPr>
                <w:rFonts w:ascii="Calibri" w:hAnsi="Calibri"/>
                <w:b/>
                <w:spacing w:val="-3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Δάνεια</w:t>
            </w:r>
            <w:r>
              <w:rPr>
                <w:rFonts w:ascii="Calibri" w:hAnsi="Calibri"/>
                <w:b/>
                <w:spacing w:val="-3"/>
                <w:sz w:val="18"/>
              </w:rPr>
              <w:t> </w:t>
            </w:r>
            <w:r>
              <w:rPr>
                <w:rFonts w:ascii="Calibri" w:hAnsi="Calibri"/>
                <w:b/>
                <w:spacing w:val="-4"/>
                <w:sz w:val="18"/>
              </w:rPr>
              <w:t>προς</w:t>
            </w:r>
          </w:p>
          <w:p>
            <w:pPr>
              <w:pStyle w:val="TableParagraph"/>
              <w:spacing w:line="197" w:lineRule="exact"/>
              <w:ind w:left="112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Καταθέσεις</w:t>
            </w:r>
            <w:r>
              <w:rPr>
                <w:rFonts w:ascii="Calibri" w:hAnsi="Calibri"/>
                <w:b/>
                <w:spacing w:val="-7"/>
                <w:sz w:val="18"/>
              </w:rPr>
              <w:t> </w:t>
            </w:r>
            <w:r>
              <w:rPr>
                <w:rFonts w:ascii="Calibri" w:hAnsi="Calibri"/>
                <w:b/>
                <w:spacing w:val="-2"/>
                <w:sz w:val="18"/>
              </w:rPr>
              <w:t>(Όμιλος)</w:t>
            </w:r>
          </w:p>
        </w:tc>
      </w:tr>
      <w:tr>
        <w:trPr>
          <w:trHeight w:val="2354" w:hRule="atLeast"/>
        </w:trPr>
        <w:tc>
          <w:tcPr>
            <w:tcW w:w="4645" w:type="dxa"/>
            <w:tcBorders>
              <w:top w:val="single" w:sz="4" w:space="0" w:color="4374B8"/>
              <w:left w:val="single" w:sz="4" w:space="0" w:color="4374B8"/>
              <w:bottom w:val="single" w:sz="4" w:space="0" w:color="4374B8"/>
            </w:tcBorders>
          </w:tcPr>
          <w:p>
            <w:pPr>
              <w:pStyle w:val="TableParagraph"/>
              <w:tabs>
                <w:tab w:pos="1449" w:val="left" w:leader="none"/>
                <w:tab w:pos="3005" w:val="left" w:leader="none"/>
              </w:tabs>
              <w:spacing w:before="56"/>
              <w:ind w:left="450"/>
              <w:rPr>
                <w:position w:val="-1"/>
                <w:sz w:val="11"/>
              </w:rPr>
            </w:pPr>
            <w:r>
              <w:rPr>
                <w:color w:val="8E8E8E"/>
                <w:spacing w:val="-6"/>
                <w:sz w:val="12"/>
              </w:rPr>
              <w:t>Όμιλος,</w:t>
            </w:r>
            <w:r>
              <w:rPr>
                <w:color w:val="8E8E8E"/>
                <w:spacing w:val="-3"/>
                <w:sz w:val="12"/>
              </w:rPr>
              <w:t> </w:t>
            </w:r>
            <w:r>
              <w:rPr>
                <w:color w:val="8E8E8E"/>
                <w:spacing w:val="-6"/>
                <w:sz w:val="12"/>
              </w:rPr>
              <w:t>€</w:t>
            </w:r>
            <w:r>
              <w:rPr>
                <w:color w:val="8E8E8E"/>
                <w:spacing w:val="-4"/>
                <w:sz w:val="12"/>
              </w:rPr>
              <w:t> </w:t>
            </w:r>
            <w:r>
              <w:rPr>
                <w:color w:val="8E8E8E"/>
                <w:spacing w:val="-6"/>
                <w:sz w:val="12"/>
              </w:rPr>
              <w:t>δισ.</w:t>
            </w:r>
            <w:r>
              <w:rPr>
                <w:color w:val="8E8E8E"/>
                <w:sz w:val="12"/>
              </w:rPr>
              <w:tab/>
            </w:r>
            <w:r>
              <w:rPr>
                <w:spacing w:val="-5"/>
                <w:position w:val="-2"/>
                <w:sz w:val="11"/>
              </w:rPr>
              <w:t>YoY</w:t>
            </w:r>
            <w:r>
              <w:rPr>
                <w:position w:val="-2"/>
                <w:sz w:val="11"/>
              </w:rPr>
              <w:tab/>
            </w:r>
            <w:r>
              <w:rPr>
                <w:spacing w:val="-5"/>
                <w:position w:val="-1"/>
                <w:sz w:val="11"/>
              </w:rPr>
              <w:t>QoQ</w:t>
            </w:r>
          </w:p>
          <w:p>
            <w:pPr>
              <w:pStyle w:val="TableParagraph"/>
              <w:tabs>
                <w:tab w:pos="3022" w:val="left" w:leader="none"/>
              </w:tabs>
              <w:spacing w:before="84"/>
              <w:ind w:left="1435"/>
              <w:rPr>
                <w:sz w:val="11"/>
              </w:rPr>
            </w:pPr>
            <w:r>
              <w:rPr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7552">
                      <wp:simplePos x="0" y="0"/>
                      <wp:positionH relativeFrom="column">
                        <wp:posOffset>598758</wp:posOffset>
                      </wp:positionH>
                      <wp:positionV relativeFrom="paragraph">
                        <wp:posOffset>36552</wp:posOffset>
                      </wp:positionV>
                      <wp:extent cx="2418080" cy="1030605"/>
                      <wp:effectExtent l="0" t="0" r="0" b="0"/>
                      <wp:wrapNone/>
                      <wp:docPr id="157" name="Group 1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7" name="Group 157"/>
                            <wpg:cNvGrpSpPr/>
                            <wpg:grpSpPr>
                              <a:xfrm>
                                <a:off x="0" y="0"/>
                                <a:ext cx="2418080" cy="1030605"/>
                                <a:chExt cx="2418080" cy="1030605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89721" y="510645"/>
                                  <a:ext cx="2239010" cy="517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9010" h="517525">
                                      <a:moveTo>
                                        <a:pt x="223862" y="194576"/>
                                      </a:moveTo>
                                      <a:lnTo>
                                        <a:pt x="0" y="194576"/>
                                      </a:lnTo>
                                      <a:lnTo>
                                        <a:pt x="0" y="517359"/>
                                      </a:lnTo>
                                      <a:lnTo>
                                        <a:pt x="223862" y="517359"/>
                                      </a:lnTo>
                                      <a:lnTo>
                                        <a:pt x="223862" y="194576"/>
                                      </a:lnTo>
                                      <a:close/>
                                    </a:path>
                                    <a:path w="2239010" h="517525">
                                      <a:moveTo>
                                        <a:pt x="627113" y="122174"/>
                                      </a:moveTo>
                                      <a:lnTo>
                                        <a:pt x="403250" y="122174"/>
                                      </a:lnTo>
                                      <a:lnTo>
                                        <a:pt x="403250" y="517359"/>
                                      </a:lnTo>
                                      <a:lnTo>
                                        <a:pt x="627113" y="517359"/>
                                      </a:lnTo>
                                      <a:lnTo>
                                        <a:pt x="627113" y="122174"/>
                                      </a:lnTo>
                                      <a:close/>
                                    </a:path>
                                    <a:path w="2239010" h="517525">
                                      <a:moveTo>
                                        <a:pt x="2238629" y="0"/>
                                      </a:moveTo>
                                      <a:lnTo>
                                        <a:pt x="2014766" y="0"/>
                                      </a:lnTo>
                                      <a:lnTo>
                                        <a:pt x="2014766" y="517359"/>
                                      </a:lnTo>
                                      <a:lnTo>
                                        <a:pt x="2238629" y="517359"/>
                                      </a:lnTo>
                                      <a:lnTo>
                                        <a:pt x="2238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A4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89721" y="259540"/>
                                  <a:ext cx="2239010" cy="445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9010" h="445770">
                                      <a:moveTo>
                                        <a:pt x="223862" y="289598"/>
                                      </a:moveTo>
                                      <a:lnTo>
                                        <a:pt x="0" y="289598"/>
                                      </a:lnTo>
                                      <a:lnTo>
                                        <a:pt x="0" y="445681"/>
                                      </a:lnTo>
                                      <a:lnTo>
                                        <a:pt x="223862" y="445681"/>
                                      </a:lnTo>
                                      <a:lnTo>
                                        <a:pt x="223862" y="289598"/>
                                      </a:lnTo>
                                      <a:close/>
                                    </a:path>
                                    <a:path w="2239010" h="445770">
                                      <a:moveTo>
                                        <a:pt x="627113" y="123685"/>
                                      </a:moveTo>
                                      <a:lnTo>
                                        <a:pt x="403250" y="123685"/>
                                      </a:lnTo>
                                      <a:lnTo>
                                        <a:pt x="403250" y="373316"/>
                                      </a:lnTo>
                                      <a:lnTo>
                                        <a:pt x="627113" y="373316"/>
                                      </a:lnTo>
                                      <a:lnTo>
                                        <a:pt x="627113" y="123685"/>
                                      </a:lnTo>
                                      <a:close/>
                                    </a:path>
                                    <a:path w="2239010" h="445770">
                                      <a:moveTo>
                                        <a:pt x="2238629" y="0"/>
                                      </a:moveTo>
                                      <a:lnTo>
                                        <a:pt x="2014766" y="0"/>
                                      </a:lnTo>
                                      <a:lnTo>
                                        <a:pt x="2014766" y="251129"/>
                                      </a:lnTo>
                                      <a:lnTo>
                                        <a:pt x="2238629" y="251129"/>
                                      </a:lnTo>
                                      <a:lnTo>
                                        <a:pt x="22386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F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815326"/>
                                  <a:ext cx="2418080" cy="212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8080" h="212725">
                                      <a:moveTo>
                                        <a:pt x="0" y="212677"/>
                                      </a:moveTo>
                                      <a:lnTo>
                                        <a:pt x="2417994" y="212677"/>
                                      </a:lnTo>
                                    </a:path>
                                    <a:path w="2418080" h="212725">
                                      <a:moveTo>
                                        <a:pt x="2079624" y="102568"/>
                                      </a:moveTo>
                                      <a:lnTo>
                                        <a:pt x="2353172" y="28658"/>
                                      </a:lnTo>
                                    </a:path>
                                    <a:path w="2418080" h="212725">
                                      <a:moveTo>
                                        <a:pt x="2079624" y="73909"/>
                                      </a:moveTo>
                                      <a:lnTo>
                                        <a:pt x="2353172" y="0"/>
                                      </a:lnTo>
                                    </a:path>
                                    <a:path w="2418080" h="212725">
                                      <a:moveTo>
                                        <a:pt x="467355" y="102567"/>
                                      </a:moveTo>
                                      <a:lnTo>
                                        <a:pt x="741657" y="28658"/>
                                      </a:lnTo>
                                    </a:path>
                                    <a:path w="2418080" h="212725">
                                      <a:moveTo>
                                        <a:pt x="467355" y="73909"/>
                                      </a:moveTo>
                                      <a:lnTo>
                                        <a:pt x="741657" y="0"/>
                                      </a:lnTo>
                                    </a:path>
                                    <a:path w="2418080" h="212725">
                                      <a:moveTo>
                                        <a:pt x="64853" y="102567"/>
                                      </a:moveTo>
                                      <a:lnTo>
                                        <a:pt x="338401" y="28658"/>
                                      </a:lnTo>
                                    </a:path>
                                    <a:path w="2418080" h="212725">
                                      <a:moveTo>
                                        <a:pt x="64853" y="73909"/>
                                      </a:moveTo>
                                      <a:lnTo>
                                        <a:pt x="338401" y="0"/>
                                      </a:lnTo>
                                    </a:path>
                                  </a:pathLst>
                                </a:custGeom>
                                <a:ln w="47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201282" y="61182"/>
                                  <a:ext cx="2014855" cy="366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4855" h="366395">
                                      <a:moveTo>
                                        <a:pt x="0" y="36608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2014855" h="366395">
                                      <a:moveTo>
                                        <a:pt x="0" y="0"/>
                                      </a:moveTo>
                                      <a:lnTo>
                                        <a:pt x="2014707" y="0"/>
                                      </a:lnTo>
                                    </a:path>
                                  </a:pathLst>
                                </a:custGeom>
                                <a:ln w="628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2197209" y="61182"/>
                                  <a:ext cx="381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6200">
                                      <a:moveTo>
                                        <a:pt x="15694" y="38462"/>
                                      </a:moveTo>
                                      <a:lnTo>
                                        <a:pt x="0" y="38462"/>
                                      </a:lnTo>
                                      <a:lnTo>
                                        <a:pt x="18843" y="76171"/>
                                      </a:lnTo>
                                      <a:lnTo>
                                        <a:pt x="34494" y="44747"/>
                                      </a:lnTo>
                                      <a:lnTo>
                                        <a:pt x="15703" y="44747"/>
                                      </a:lnTo>
                                      <a:lnTo>
                                        <a:pt x="15694" y="38462"/>
                                      </a:lnTo>
                                      <a:close/>
                                    </a:path>
                                    <a:path w="38100" h="76200">
                                      <a:moveTo>
                                        <a:pt x="21921" y="0"/>
                                      </a:moveTo>
                                      <a:lnTo>
                                        <a:pt x="15640" y="0"/>
                                      </a:lnTo>
                                      <a:lnTo>
                                        <a:pt x="15703" y="44747"/>
                                      </a:lnTo>
                                      <a:lnTo>
                                        <a:pt x="21921" y="44747"/>
                                      </a:lnTo>
                                      <a:lnTo>
                                        <a:pt x="21921" y="0"/>
                                      </a:lnTo>
                                      <a:close/>
                                    </a:path>
                                    <a:path w="38100" h="76200">
                                      <a:moveTo>
                                        <a:pt x="37624" y="38462"/>
                                      </a:moveTo>
                                      <a:lnTo>
                                        <a:pt x="21921" y="38462"/>
                                      </a:lnTo>
                                      <a:lnTo>
                                        <a:pt x="21921" y="44747"/>
                                      </a:lnTo>
                                      <a:lnTo>
                                        <a:pt x="34494" y="44747"/>
                                      </a:lnTo>
                                      <a:lnTo>
                                        <a:pt x="37624" y="384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603784" y="61182"/>
                                  <a:ext cx="1270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00660">
                                      <a:moveTo>
                                        <a:pt x="0" y="20029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28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64" name="Image 164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3696" y="0"/>
                                  <a:ext cx="197672" cy="1223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5" name="Image 165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1396" y="0"/>
                                  <a:ext cx="196981" cy="1223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7.14632pt;margin-top:2.878153pt;width:190.4pt;height:81.150pt;mso-position-horizontal-relative:column;mso-position-vertical-relative:paragraph;z-index:-18108928" id="docshapegroup148" coordorigin="943,58" coordsize="3808,1623">
                      <v:shape style="position:absolute;left:1084;top:861;width:3526;height:815" id="docshape149" coordorigin="1084,862" coordsize="3526,815" path="m1437,1168l1084,1168,1084,1676,1437,1676,1437,1168xm2072,1054l1719,1054,1719,1676,2072,1676,2072,1054xm4610,862l4257,862,4257,1676,4610,1676,4610,862xe" filled="true" fillcolor="#a8a4a4" stroked="false">
                        <v:path arrowok="t"/>
                        <v:fill type="solid"/>
                      </v:shape>
                      <v:shape style="position:absolute;left:1084;top:466;width:3526;height:702" id="docshape150" coordorigin="1084,466" coordsize="3526,702" path="m1437,922l1084,922,1084,1168,1437,1168,1437,922xm2072,661l1719,661,1719,1054,2072,1054,2072,661xm4610,466l4257,466,4257,862,4610,862,4610,466xe" filled="true" fillcolor="#d2dfed" stroked="false">
                        <v:path arrowok="t"/>
                        <v:fill type="solid"/>
                      </v:shape>
                      <v:shape style="position:absolute;left:942;top:1341;width:3808;height:335" id="docshape151" coordorigin="943,1342" coordsize="3808,335" path="m943,1676l4751,1676m4218,1503l4649,1387m4218,1458l4649,1342m1679,1503l2111,1387m1679,1458l2111,1342m1045,1503l1476,1387m1045,1458l1476,1342e" filled="false" stroked="true" strokeweight=".371044pt" strokecolor="#000000">
                        <v:path arrowok="t"/>
                        <v:stroke dashstyle="solid"/>
                      </v:shape>
                      <v:shape style="position:absolute;left:1259;top:153;width:3173;height:577" id="docshape152" coordorigin="1260,154" coordsize="3173,577" path="m1260,730l1260,154m1260,154l4433,154e" filled="false" stroked="true" strokeweight=".494726pt" strokecolor="#000000">
                        <v:path arrowok="t"/>
                        <v:stroke dashstyle="solid"/>
                      </v:shape>
                      <v:shape style="position:absolute;left:4403;top:153;width:60;height:120" id="docshape153" coordorigin="4403,154" coordsize="60,120" path="m4428,214l4403,214,4433,274,4457,224,4428,224,4428,214xm4438,154l4428,154,4428,224,4438,224,4438,154xm4462,214l4438,214,4438,224,4457,224,4462,214xe" filled="true" fillcolor="#000000" stroked="false">
                        <v:path arrowok="t"/>
                        <v:fill type="solid"/>
                      </v:shape>
                      <v:line style="position:absolute" from="1894,469" to="1894,154" stroked="true" strokeweight=".494586pt" strokecolor="#000000">
                        <v:stroke dashstyle="solid"/>
                      </v:line>
                      <v:shape style="position:absolute;left:1421;top:57;width:312;height:193" type="#_x0000_t75" id="docshape154" stroked="false">
                        <v:imagedata r:id="rId17" o:title=""/>
                      </v:shape>
                      <v:shape style="position:absolute;left:3008;top:57;width:311;height:193" type="#_x0000_t75" id="docshape155" stroked="false">
                        <v:imagedata r:id="rId1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85"/>
                <w:sz w:val="11"/>
              </w:rPr>
              <w:t>+</w:t>
            </w:r>
            <w:r>
              <w:rPr>
                <w:spacing w:val="-2"/>
                <w:w w:val="85"/>
                <w:sz w:val="11"/>
              </w:rPr>
              <w:t> </w:t>
            </w:r>
            <w:r>
              <w:rPr>
                <w:spacing w:val="-5"/>
                <w:w w:val="85"/>
                <w:sz w:val="11"/>
              </w:rPr>
              <w:t>7,2</w:t>
            </w:r>
            <w:r>
              <w:rPr>
                <w:sz w:val="11"/>
              </w:rPr>
              <w:tab/>
            </w:r>
            <w:r>
              <w:rPr>
                <w:w w:val="85"/>
                <w:sz w:val="11"/>
              </w:rPr>
              <w:t>+</w:t>
            </w:r>
            <w:r>
              <w:rPr>
                <w:spacing w:val="-2"/>
                <w:w w:val="85"/>
                <w:sz w:val="11"/>
              </w:rPr>
              <w:t> </w:t>
            </w:r>
            <w:r>
              <w:rPr>
                <w:spacing w:val="-5"/>
                <w:w w:val="90"/>
                <w:sz w:val="11"/>
              </w:rPr>
              <w:t>3,1</w:t>
            </w:r>
          </w:p>
          <w:p>
            <w:pPr>
              <w:pStyle w:val="TableParagraph"/>
              <w:tabs>
                <w:tab w:pos="3621" w:val="left" w:leader="none"/>
                <w:tab w:pos="4301" w:val="left" w:leader="none"/>
              </w:tabs>
              <w:spacing w:before="83"/>
              <w:ind w:left="3070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8576">
                      <wp:simplePos x="0" y="0"/>
                      <wp:positionH relativeFrom="column">
                        <wp:posOffset>1897498</wp:posOffset>
                      </wp:positionH>
                      <wp:positionV relativeFrom="paragraph">
                        <wp:posOffset>159292</wp:posOffset>
                      </wp:positionV>
                      <wp:extent cx="224154" cy="115570"/>
                      <wp:effectExtent l="0" t="0" r="0" b="0"/>
                      <wp:wrapNone/>
                      <wp:docPr id="166" name="Group 1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6" name="Group 166"/>
                            <wpg:cNvGrpSpPr/>
                            <wpg:grpSpPr>
                              <a:xfrm>
                                <a:off x="0" y="0"/>
                                <a:ext cx="224154" cy="115570"/>
                                <a:chExt cx="224154" cy="115570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0" y="0"/>
                                  <a:ext cx="224154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154" h="115570">
                                      <a:moveTo>
                                        <a:pt x="2238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5388"/>
                                      </a:lnTo>
                                      <a:lnTo>
                                        <a:pt x="223863" y="115388"/>
                                      </a:lnTo>
                                      <a:lnTo>
                                        <a:pt x="2238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0C7D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9.409363pt;margin-top:12.542722pt;width:17.650pt;height:9.1pt;mso-position-horizontal-relative:column;mso-position-vertical-relative:paragraph;z-index:-18107904" id="docshapegroup156" coordorigin="2988,251" coordsize="353,182">
                      <v:rect style="position:absolute;left:2988;top:250;width:353;height:182" id="docshape157" filled="true" fillcolor="#b0c7dc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w w:val="95"/>
                <w:sz w:val="12"/>
              </w:rPr>
              <w:t>2,9</w:t>
            </w:r>
            <w:r>
              <w:rPr>
                <w:sz w:val="12"/>
              </w:rPr>
              <w:tab/>
            </w:r>
            <w:r>
              <w:rPr>
                <w:spacing w:val="40"/>
                <w:sz w:val="12"/>
                <w:u w:val="single" w:color="D2DFED"/>
              </w:rPr>
              <w:t> </w:t>
            </w:r>
            <w:r>
              <w:rPr>
                <w:w w:val="95"/>
                <w:sz w:val="12"/>
                <w:u w:val="single" w:color="D2DFED"/>
              </w:rPr>
              <w:t>0,0</w:t>
            </w:r>
            <w:r>
              <w:rPr>
                <w:spacing w:val="40"/>
                <w:sz w:val="12"/>
                <w:u w:val="single" w:color="D2DFED"/>
              </w:rPr>
              <w:t> </w:t>
            </w:r>
            <w:r>
              <w:rPr>
                <w:sz w:val="12"/>
              </w:rPr>
              <w:tab/>
            </w:r>
            <w:r>
              <w:rPr>
                <w:spacing w:val="-4"/>
                <w:w w:val="95"/>
                <w:sz w:val="12"/>
              </w:rPr>
              <w:t>58,5</w:t>
            </w:r>
          </w:p>
          <w:p>
            <w:pPr>
              <w:pStyle w:val="TableParagraph"/>
              <w:tabs>
                <w:tab w:pos="2436" w:val="left" w:leader="none"/>
                <w:tab w:pos="4339" w:val="left" w:leader="none"/>
              </w:tabs>
              <w:spacing w:before="38"/>
              <w:ind w:left="1762"/>
              <w:rPr>
                <w:position w:val="-8"/>
                <w:sz w:val="12"/>
              </w:rPr>
            </w:pPr>
            <w:r>
              <w:rPr>
                <w:position w:val="-8"/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8064">
                      <wp:simplePos x="0" y="0"/>
                      <wp:positionH relativeFrom="column">
                        <wp:posOffset>1491886</wp:posOffset>
                      </wp:positionH>
                      <wp:positionV relativeFrom="paragraph">
                        <wp:posOffset>127483</wp:posOffset>
                      </wp:positionV>
                      <wp:extent cx="228600" cy="12065"/>
                      <wp:effectExtent l="0" t="0" r="0" b="0"/>
                      <wp:wrapNone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228600" cy="12065"/>
                                <a:chExt cx="228600" cy="12065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2356" y="2356"/>
                                  <a:ext cx="224154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154" h="6985">
                                      <a:moveTo>
                                        <a:pt x="2238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787"/>
                                      </a:lnTo>
                                      <a:lnTo>
                                        <a:pt x="223863" y="6787"/>
                                      </a:lnTo>
                                      <a:lnTo>
                                        <a:pt x="2238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4B8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2356" y="2356"/>
                                  <a:ext cx="224154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154" h="6985">
                                      <a:moveTo>
                                        <a:pt x="0" y="6787"/>
                                      </a:moveTo>
                                      <a:lnTo>
                                        <a:pt x="223863" y="6787"/>
                                      </a:lnTo>
                                      <a:lnTo>
                                        <a:pt x="2238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7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713">
                                  <a:solidFill>
                                    <a:srgbClr val="D2DFED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7.471382pt;margin-top:10.038064pt;width:18pt;height:.95pt;mso-position-horizontal-relative:column;mso-position-vertical-relative:paragraph;z-index:-18108416" id="docshapegroup158" coordorigin="2349,201" coordsize="360,19">
                      <v:rect style="position:absolute;left:2353;top:204;width:353;height:11" id="docshape159" filled="true" fillcolor="#94b8df" stroked="false">
                        <v:fill type="solid"/>
                      </v:rect>
                      <v:rect style="position:absolute;left:2353;top:204;width:353;height:11" id="docshape160" filled="false" stroked="true" strokeweight=".371149pt" strokecolor="#d2dfed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w w:val="95"/>
                <w:sz w:val="12"/>
              </w:rPr>
              <w:t>55,4</w:t>
            </w:r>
            <w:r>
              <w:rPr>
                <w:sz w:val="12"/>
              </w:rPr>
              <w:tab/>
            </w:r>
            <w:r>
              <w:rPr>
                <w:spacing w:val="-5"/>
                <w:w w:val="95"/>
                <w:position w:val="1"/>
                <w:sz w:val="12"/>
              </w:rPr>
              <w:t>0,2</w:t>
            </w:r>
            <w:r>
              <w:rPr>
                <w:position w:val="1"/>
                <w:sz w:val="12"/>
              </w:rPr>
              <w:tab/>
            </w:r>
            <w:r>
              <w:rPr>
                <w:spacing w:val="-5"/>
                <w:w w:val="95"/>
                <w:position w:val="-8"/>
                <w:sz w:val="12"/>
              </w:rPr>
              <w:t>6,2</w:t>
            </w:r>
          </w:p>
          <w:p>
            <w:pPr>
              <w:pStyle w:val="TableParagraph"/>
              <w:tabs>
                <w:tab w:pos="1800" w:val="left" w:leader="none"/>
              </w:tabs>
              <w:spacing w:line="159" w:lineRule="exact" w:before="25"/>
              <w:ind w:left="1128"/>
              <w:rPr>
                <w:position w:val="-2"/>
                <w:sz w:val="12"/>
              </w:rPr>
            </w:pPr>
            <w:r>
              <w:rPr>
                <w:spacing w:val="-4"/>
                <w:w w:val="95"/>
                <w:sz w:val="12"/>
              </w:rPr>
              <w:t>51,3</w:t>
            </w:r>
            <w:r>
              <w:rPr>
                <w:sz w:val="12"/>
              </w:rPr>
              <w:tab/>
            </w:r>
            <w:r>
              <w:rPr>
                <w:spacing w:val="-5"/>
                <w:w w:val="95"/>
                <w:position w:val="-2"/>
                <w:sz w:val="12"/>
              </w:rPr>
              <w:t>6,2</w:t>
            </w:r>
          </w:p>
          <w:p>
            <w:pPr>
              <w:pStyle w:val="TableParagraph"/>
              <w:spacing w:line="134" w:lineRule="auto"/>
              <w:ind w:left="108"/>
              <w:rPr>
                <w:position w:val="-6"/>
                <w:sz w:val="12"/>
              </w:rPr>
            </w:pPr>
            <w:r>
              <w:rPr>
                <w:position w:val="-13"/>
                <w:sz w:val="12"/>
              </w:rPr>
              <w:t>Δραστη</w:t>
            </w:r>
            <w:r>
              <w:rPr>
                <w:sz w:val="12"/>
              </w:rPr>
              <w:t>Διεθνείς</w:t>
            </w:r>
            <w:r>
              <w:rPr>
                <w:spacing w:val="79"/>
                <w:sz w:val="12"/>
              </w:rPr>
              <w:t> </w:t>
            </w:r>
            <w:r>
              <w:rPr>
                <w:spacing w:val="-5"/>
                <w:position w:val="-6"/>
                <w:sz w:val="12"/>
              </w:rPr>
              <w:t>3,9</w:t>
            </w:r>
          </w:p>
          <w:p>
            <w:pPr>
              <w:pStyle w:val="TableParagraph"/>
              <w:spacing w:line="68" w:lineRule="exact"/>
              <w:ind w:left="530"/>
              <w:rPr>
                <w:sz w:val="12"/>
              </w:rPr>
            </w:pPr>
            <w:r>
              <w:rPr>
                <w:spacing w:val="-2"/>
                <w:sz w:val="12"/>
              </w:rPr>
              <w:t>ριότητες</w:t>
            </w:r>
          </w:p>
          <w:p>
            <w:pPr>
              <w:pStyle w:val="TableParagraph"/>
              <w:tabs>
                <w:tab w:pos="4301" w:val="left" w:leader="none"/>
              </w:tabs>
              <w:spacing w:line="140" w:lineRule="exact"/>
              <w:ind w:left="1762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49,2</w:t>
            </w:r>
            <w:r>
              <w:rPr>
                <w:sz w:val="12"/>
              </w:rPr>
              <w:tab/>
            </w:r>
            <w:r>
              <w:rPr>
                <w:spacing w:val="-4"/>
                <w:w w:val="95"/>
                <w:sz w:val="12"/>
              </w:rPr>
              <w:t>52,3</w:t>
            </w:r>
          </w:p>
          <w:p>
            <w:pPr>
              <w:pStyle w:val="TableParagraph"/>
              <w:spacing w:before="1"/>
              <w:ind w:left="582"/>
              <w:rPr>
                <w:sz w:val="12"/>
              </w:rPr>
            </w:pPr>
            <w:r>
              <w:rPr>
                <w:spacing w:val="-2"/>
                <w:sz w:val="12"/>
              </w:rPr>
              <w:t>Ελλάδα</w:t>
            </w:r>
          </w:p>
          <w:p>
            <w:pPr>
              <w:pStyle w:val="TableParagraph"/>
              <w:ind w:left="1128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47,4</w:t>
            </w:r>
          </w:p>
          <w:p>
            <w:pPr>
              <w:pStyle w:val="TableParagraph"/>
              <w:tabs>
                <w:tab w:pos="1677" w:val="left" w:leader="none"/>
                <w:tab w:pos="2336" w:val="left" w:leader="none"/>
              </w:tabs>
              <w:spacing w:line="144" w:lineRule="exact" w:before="72"/>
              <w:ind w:left="1050" w:right="-15"/>
              <w:rPr>
                <w:sz w:val="12"/>
              </w:rPr>
            </w:pPr>
            <w:r>
              <w:rPr>
                <w:w w:val="80"/>
                <w:sz w:val="12"/>
              </w:rPr>
              <w:t>Ιουν-</w:t>
            </w:r>
            <w:r>
              <w:rPr>
                <w:spacing w:val="-5"/>
                <w:sz w:val="12"/>
              </w:rPr>
              <w:t>25</w:t>
            </w:r>
            <w:r>
              <w:rPr>
                <w:sz w:val="12"/>
              </w:rPr>
              <w:tab/>
            </w:r>
            <w:r>
              <w:rPr>
                <w:spacing w:val="-4"/>
                <w:w w:val="95"/>
                <w:sz w:val="12"/>
              </w:rPr>
              <w:t>Μαρ-</w:t>
            </w:r>
            <w:r>
              <w:rPr>
                <w:spacing w:val="-5"/>
                <w:sz w:val="12"/>
              </w:rPr>
              <w:t>26</w:t>
            </w:r>
            <w:r>
              <w:rPr>
                <w:sz w:val="12"/>
              </w:rPr>
              <w:tab/>
            </w:r>
            <w:r>
              <w:rPr>
                <w:w w:val="95"/>
                <w:sz w:val="12"/>
              </w:rPr>
              <w:t>Ιδιώτες</w:t>
            </w:r>
            <w:r>
              <w:rPr>
                <w:spacing w:val="28"/>
                <w:sz w:val="12"/>
              </w:rPr>
              <w:t> </w:t>
            </w:r>
            <w:r>
              <w:rPr>
                <w:w w:val="95"/>
                <w:sz w:val="12"/>
              </w:rPr>
              <w:t>Επιχειρήσεις</w:t>
            </w:r>
            <w:r>
              <w:rPr>
                <w:spacing w:val="9"/>
                <w:sz w:val="12"/>
              </w:rPr>
              <w:t> </w:t>
            </w:r>
            <w:r>
              <w:rPr>
                <w:w w:val="95"/>
                <w:sz w:val="12"/>
              </w:rPr>
              <w:t>Διεθνείς</w:t>
            </w:r>
            <w:r>
              <w:rPr>
                <w:spacing w:val="74"/>
                <w:w w:val="150"/>
                <w:sz w:val="12"/>
              </w:rPr>
              <w:t> </w:t>
            </w:r>
            <w:r>
              <w:rPr>
                <w:w w:val="95"/>
                <w:sz w:val="12"/>
              </w:rPr>
              <w:t>Ιουν-</w:t>
            </w:r>
            <w:r>
              <w:rPr>
                <w:spacing w:val="-5"/>
                <w:w w:val="95"/>
                <w:sz w:val="12"/>
              </w:rPr>
              <w:t>26</w:t>
            </w:r>
          </w:p>
          <w:p>
            <w:pPr>
              <w:pStyle w:val="TableParagraph"/>
              <w:spacing w:line="144" w:lineRule="exact"/>
              <w:ind w:left="3359"/>
              <w:rPr>
                <w:sz w:val="12"/>
              </w:rPr>
            </w:pPr>
            <w:r>
              <w:rPr>
                <w:spacing w:val="-2"/>
                <w:sz w:val="12"/>
              </w:rPr>
              <w:t>Δραστηριότητες</w:t>
            </w:r>
          </w:p>
        </w:tc>
        <w:tc>
          <w:tcPr>
            <w:tcW w:w="178" w:type="dxa"/>
            <w:tcBorders>
              <w:top w:val="single" w:sz="4" w:space="0" w:color="4374B8"/>
              <w:bottom w:val="single" w:sz="4" w:space="0" w:color="4374B8"/>
              <w:right w:val="single" w:sz="4" w:space="0" w:color="4374B8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" w:type="dxa"/>
            <w:tcBorders>
              <w:left w:val="single" w:sz="4" w:space="0" w:color="4374B8"/>
              <w:right w:val="single" w:sz="4" w:space="0" w:color="4374B8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7" w:type="dxa"/>
            <w:tcBorders>
              <w:top w:val="single" w:sz="4" w:space="0" w:color="4374B8"/>
              <w:left w:val="single" w:sz="4" w:space="0" w:color="4374B8"/>
              <w:bottom w:val="single" w:sz="4" w:space="0" w:color="4374B8"/>
              <w:right w:val="single" w:sz="4" w:space="0" w:color="4374B8"/>
            </w:tcBorders>
          </w:tcPr>
          <w:p>
            <w:pPr>
              <w:pStyle w:val="TableParagraph"/>
              <w:spacing w:before="63"/>
              <w:ind w:left="2586"/>
              <w:rPr>
                <w:sz w:val="13"/>
              </w:rPr>
            </w:pP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9600">
                      <wp:simplePos x="0" y="0"/>
                      <wp:positionH relativeFrom="column">
                        <wp:posOffset>1444421</wp:posOffset>
                      </wp:positionH>
                      <wp:positionV relativeFrom="paragraph">
                        <wp:posOffset>81737</wp:posOffset>
                      </wp:positionV>
                      <wp:extent cx="163830" cy="11430"/>
                      <wp:effectExtent l="0" t="0" r="0" b="0"/>
                      <wp:wrapNone/>
                      <wp:docPr id="171" name="Group 1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1" name="Group 171"/>
                            <wpg:cNvGrpSpPr/>
                            <wpg:grpSpPr>
                              <a:xfrm>
                                <a:off x="0" y="0"/>
                                <a:ext cx="163830" cy="11430"/>
                                <a:chExt cx="163830" cy="1143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5457"/>
                                  <a:ext cx="163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" h="0">
                                      <a:moveTo>
                                        <a:pt x="0" y="0"/>
                                      </a:moveTo>
                                      <a:lnTo>
                                        <a:pt x="163476" y="0"/>
                                      </a:lnTo>
                                    </a:path>
                                  </a:pathLst>
                                </a:custGeom>
                                <a:ln w="10915">
                                  <a:solidFill>
                                    <a:srgbClr val="3885B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3.733955pt;margin-top:6.436032pt;width:12.9pt;height:.9pt;mso-position-horizontal-relative:column;mso-position-vertical-relative:paragraph;z-index:-18106880" id="docshapegroup161" coordorigin="2275,129" coordsize="258,18">
                      <v:line style="position:absolute" from="2275,137" to="2532,137" stroked="true" strokeweight=".859495pt" strokecolor="#3885b1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0112">
                      <wp:simplePos x="0" y="0"/>
                      <wp:positionH relativeFrom="column">
                        <wp:posOffset>1444421</wp:posOffset>
                      </wp:positionH>
                      <wp:positionV relativeFrom="paragraph">
                        <wp:posOffset>195784</wp:posOffset>
                      </wp:positionV>
                      <wp:extent cx="163830" cy="49530"/>
                      <wp:effectExtent l="0" t="0" r="0" b="0"/>
                      <wp:wrapNone/>
                      <wp:docPr id="173" name="Group 1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3" name="Group 173"/>
                            <wpg:cNvGrpSpPr/>
                            <wpg:grpSpPr>
                              <a:xfrm>
                                <a:off x="0" y="0"/>
                                <a:ext cx="163830" cy="49530"/>
                                <a:chExt cx="163830" cy="4953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25017"/>
                                  <a:ext cx="163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" h="0">
                                      <a:moveTo>
                                        <a:pt x="0" y="0"/>
                                      </a:moveTo>
                                      <a:lnTo>
                                        <a:pt x="163476" y="0"/>
                                      </a:lnTo>
                                    </a:path>
                                  </a:pathLst>
                                </a:custGeom>
                                <a:ln w="10915">
                                  <a:solidFill>
                                    <a:srgbClr val="BBB9B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58088" y="2750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22171" y="0"/>
                                      </a:moveTo>
                                      <a:lnTo>
                                        <a:pt x="13531" y="1712"/>
                                      </a:lnTo>
                                      <a:lnTo>
                                        <a:pt x="6485" y="6385"/>
                                      </a:lnTo>
                                      <a:lnTo>
                                        <a:pt x="1739" y="13323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39" y="30338"/>
                                      </a:lnTo>
                                      <a:lnTo>
                                        <a:pt x="6485" y="37276"/>
                                      </a:lnTo>
                                      <a:lnTo>
                                        <a:pt x="13531" y="41949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30780" y="41949"/>
                                      </a:lnTo>
                                      <a:lnTo>
                                        <a:pt x="37829" y="37276"/>
                                      </a:lnTo>
                                      <a:lnTo>
                                        <a:pt x="42593" y="30338"/>
                                      </a:lnTo>
                                      <a:lnTo>
                                        <a:pt x="44342" y="21831"/>
                                      </a:lnTo>
                                      <a:lnTo>
                                        <a:pt x="42593" y="13323"/>
                                      </a:lnTo>
                                      <a:lnTo>
                                        <a:pt x="37829" y="6385"/>
                                      </a:lnTo>
                                      <a:lnTo>
                                        <a:pt x="30780" y="1712"/>
                                      </a:lnTo>
                                      <a:lnTo>
                                        <a:pt x="221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58088" y="2750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0" y="21831"/>
                                      </a:moveTo>
                                      <a:lnTo>
                                        <a:pt x="1739" y="13323"/>
                                      </a:lnTo>
                                      <a:lnTo>
                                        <a:pt x="6485" y="6385"/>
                                      </a:lnTo>
                                      <a:lnTo>
                                        <a:pt x="13531" y="1712"/>
                                      </a:lnTo>
                                      <a:lnTo>
                                        <a:pt x="22171" y="0"/>
                                      </a:lnTo>
                                      <a:lnTo>
                                        <a:pt x="30780" y="1712"/>
                                      </a:lnTo>
                                      <a:lnTo>
                                        <a:pt x="37829" y="6385"/>
                                      </a:lnTo>
                                      <a:lnTo>
                                        <a:pt x="42593" y="13323"/>
                                      </a:lnTo>
                                      <a:lnTo>
                                        <a:pt x="44342" y="21831"/>
                                      </a:lnTo>
                                      <a:lnTo>
                                        <a:pt x="42593" y="30338"/>
                                      </a:lnTo>
                                      <a:lnTo>
                                        <a:pt x="37829" y="37276"/>
                                      </a:lnTo>
                                      <a:lnTo>
                                        <a:pt x="30780" y="41949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13531" y="41949"/>
                                      </a:lnTo>
                                      <a:lnTo>
                                        <a:pt x="6485" y="37276"/>
                                      </a:lnTo>
                                      <a:lnTo>
                                        <a:pt x="1739" y="30338"/>
                                      </a:lnTo>
                                      <a:lnTo>
                                        <a:pt x="0" y="218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499">
                                  <a:solidFill>
                                    <a:srgbClr val="BBB9B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3.733955pt;margin-top:15.416087pt;width:12.9pt;height:3.9pt;mso-position-horizontal-relative:column;mso-position-vertical-relative:paragraph;z-index:-18106368" id="docshapegroup162" coordorigin="2275,308" coordsize="258,78">
                      <v:line style="position:absolute" from="2275,348" to="2532,348" stroked="true" strokeweight=".859495pt" strokecolor="#bbb9b9">
                        <v:stroke dashstyle="solid"/>
                      </v:line>
                      <v:shape style="position:absolute;left:2366;top:312;width:70;height:69" id="docshape163" coordorigin="2366,313" coordsize="70,69" path="m2401,313l2387,315,2376,323,2369,334,2366,347,2369,360,2376,371,2387,379,2401,381,2415,379,2426,371,2433,360,2436,347,2433,334,2426,323,2415,315,2401,313xe" filled="true" fillcolor="#ffffff" stroked="false">
                        <v:path arrowok="t"/>
                        <v:fill type="solid"/>
                      </v:shape>
                      <v:shape style="position:absolute;left:2366;top:312;width:70;height:69" id="docshape164" coordorigin="2366,313" coordsize="70,69" path="m2366,347l2369,334,2376,323,2387,315,2401,313,2415,315,2426,323,2433,334,2436,347,2433,360,2426,371,2415,379,2401,381,2387,379,2376,371,2369,360,2366,347xe" filled="false" stroked="true" strokeweight=".433044pt" strokecolor="#bbb9b9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3"/>
              </w:rPr>
              <w:t>Κάλυψης</w:t>
            </w:r>
            <w:r>
              <w:rPr>
                <w:spacing w:val="-7"/>
                <w:sz w:val="13"/>
              </w:rPr>
              <w:t> </w:t>
            </w:r>
            <w:r>
              <w:rPr>
                <w:sz w:val="13"/>
              </w:rPr>
              <w:t>Ρευστότητας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2"/>
                <w:sz w:val="13"/>
              </w:rPr>
              <w:t>(Όμιλος)</w:t>
            </w:r>
          </w:p>
          <w:p>
            <w:pPr>
              <w:pStyle w:val="TableParagraph"/>
              <w:tabs>
                <w:tab w:pos="2586" w:val="left" w:leader="none"/>
              </w:tabs>
              <w:spacing w:before="43"/>
              <w:ind w:left="183"/>
              <w:rPr>
                <w:sz w:val="13"/>
              </w:rPr>
            </w:pPr>
            <w:r>
              <w:rPr>
                <w:color w:val="8E8E8E"/>
                <w:spacing w:val="-10"/>
                <w:position w:val="1"/>
                <w:sz w:val="13"/>
              </w:rPr>
              <w:t>%</w:t>
            </w:r>
            <w:r>
              <w:rPr>
                <w:color w:val="8E8E8E"/>
                <w:position w:val="1"/>
                <w:sz w:val="13"/>
              </w:rPr>
              <w:tab/>
            </w:r>
            <w:r>
              <w:rPr>
                <w:sz w:val="13"/>
              </w:rPr>
              <w:t>Δάνεια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προς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sz w:val="13"/>
              </w:rPr>
              <w:t>Καταθέσεις</w:t>
            </w:r>
          </w:p>
          <w:p>
            <w:pPr>
              <w:pStyle w:val="TableParagraph"/>
              <w:spacing w:before="29"/>
              <w:rPr>
                <w:sz w:val="13"/>
              </w:rPr>
            </w:pPr>
          </w:p>
          <w:p>
            <w:pPr>
              <w:pStyle w:val="TableParagraph"/>
              <w:tabs>
                <w:tab w:pos="1241" w:val="left" w:leader="none"/>
                <w:tab w:pos="2177" w:val="left" w:leader="none"/>
                <w:tab w:pos="3111" w:val="left" w:leader="none"/>
                <w:tab w:pos="4045" w:val="left" w:leader="none"/>
              </w:tabs>
              <w:ind w:left="307"/>
              <w:rPr>
                <w:position w:val="2"/>
                <w:sz w:val="13"/>
              </w:rPr>
            </w:pPr>
            <w:r>
              <w:rPr>
                <w:position w:val="2"/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09088">
                      <wp:simplePos x="0" y="0"/>
                      <wp:positionH relativeFrom="column">
                        <wp:posOffset>317945</wp:posOffset>
                      </wp:positionH>
                      <wp:positionV relativeFrom="paragraph">
                        <wp:posOffset>127057</wp:posOffset>
                      </wp:positionV>
                      <wp:extent cx="2384425" cy="114300"/>
                      <wp:effectExtent l="0" t="0" r="0" b="0"/>
                      <wp:wrapNone/>
                      <wp:docPr id="177" name="Group 1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7" name="Group 177"/>
                            <wpg:cNvGrpSpPr/>
                            <wpg:grpSpPr>
                              <a:xfrm>
                                <a:off x="0" y="0"/>
                                <a:ext cx="2384425" cy="114300"/>
                                <a:chExt cx="2384425" cy="11430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5457" y="5457"/>
                                  <a:ext cx="2373630" cy="10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3630" h="103505">
                                      <a:moveTo>
                                        <a:pt x="0" y="15718"/>
                                      </a:moveTo>
                                      <a:lnTo>
                                        <a:pt x="593341" y="11352"/>
                                      </a:lnTo>
                                      <a:lnTo>
                                        <a:pt x="1186645" y="68113"/>
                                      </a:lnTo>
                                      <a:lnTo>
                                        <a:pt x="1779949" y="103043"/>
                                      </a:lnTo>
                                      <a:lnTo>
                                        <a:pt x="2373253" y="0"/>
                                      </a:lnTo>
                                    </a:path>
                                  </a:pathLst>
                                </a:custGeom>
                                <a:ln w="10915">
                                  <a:solidFill>
                                    <a:srgbClr val="3885B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.035046pt;margin-top:10.00454pt;width:187.75pt;height:9pt;mso-position-horizontal-relative:column;mso-position-vertical-relative:paragraph;z-index:-18107392" id="docshapegroup165" coordorigin="501,200" coordsize="3755,180">
                      <v:shape style="position:absolute;left:509;top:208;width:3738;height:163" id="docshape166" coordorigin="509,209" coordsize="3738,163" path="m509,233l1444,227,2378,316,3312,371,4247,209e" filled="false" stroked="true" strokeweight=".859521pt" strokecolor="#3885b1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3"/>
              </w:rPr>
              <w:t>194%</w:t>
            </w:r>
            <w:r>
              <w:rPr>
                <w:sz w:val="13"/>
              </w:rPr>
              <w:tab/>
            </w:r>
            <w:r>
              <w:rPr>
                <w:spacing w:val="-4"/>
                <w:position w:val="1"/>
                <w:sz w:val="13"/>
              </w:rPr>
              <w:t>195%</w:t>
            </w:r>
            <w:r>
              <w:rPr>
                <w:position w:val="1"/>
                <w:sz w:val="13"/>
              </w:rPr>
              <w:tab/>
            </w:r>
            <w:r>
              <w:rPr>
                <w:spacing w:val="-4"/>
                <w:position w:val="-7"/>
                <w:sz w:val="13"/>
              </w:rPr>
              <w:t>184%</w:t>
            </w:r>
            <w:r>
              <w:rPr>
                <w:position w:val="-7"/>
                <w:sz w:val="13"/>
              </w:rPr>
              <w:tab/>
            </w:r>
            <w:r>
              <w:rPr>
                <w:spacing w:val="-4"/>
                <w:position w:val="-13"/>
                <w:sz w:val="13"/>
              </w:rPr>
              <w:t>176%</w:t>
            </w:r>
            <w:r>
              <w:rPr>
                <w:position w:val="-13"/>
                <w:sz w:val="13"/>
              </w:rPr>
              <w:tab/>
            </w:r>
            <w:r>
              <w:rPr>
                <w:spacing w:val="6"/>
                <w:position w:val="2"/>
                <w:sz w:val="13"/>
              </w:rPr>
              <w:t>197%</w:t>
            </w: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91"/>
              <w:rPr>
                <w:sz w:val="13"/>
              </w:rPr>
            </w:pPr>
          </w:p>
          <w:p>
            <w:pPr>
              <w:pStyle w:val="TableParagraph"/>
              <w:tabs>
                <w:tab w:pos="1286" w:val="left" w:leader="none"/>
                <w:tab w:pos="2221" w:val="left" w:leader="none"/>
                <w:tab w:pos="3156" w:val="left" w:leader="none"/>
                <w:tab w:pos="4090" w:val="left" w:leader="none"/>
              </w:tabs>
              <w:spacing w:after="41"/>
              <w:ind w:left="352"/>
              <w:rPr>
                <w:sz w:val="13"/>
              </w:rPr>
            </w:pPr>
            <w:r>
              <w:rPr>
                <w:spacing w:val="-5"/>
                <w:position w:val="1"/>
                <w:sz w:val="13"/>
              </w:rPr>
              <w:t>80%</w:t>
            </w:r>
            <w:r>
              <w:rPr>
                <w:position w:val="1"/>
                <w:sz w:val="13"/>
              </w:rPr>
              <w:tab/>
            </w:r>
            <w:r>
              <w:rPr>
                <w:spacing w:val="-5"/>
                <w:sz w:val="13"/>
              </w:rPr>
              <w:t>79%</w:t>
            </w:r>
            <w:r>
              <w:rPr>
                <w:sz w:val="13"/>
              </w:rPr>
              <w:tab/>
            </w:r>
            <w:r>
              <w:rPr>
                <w:spacing w:val="-5"/>
                <w:sz w:val="13"/>
              </w:rPr>
              <w:t>79%</w:t>
            </w:r>
            <w:r>
              <w:rPr>
                <w:sz w:val="13"/>
              </w:rPr>
              <w:tab/>
            </w:r>
            <w:r>
              <w:rPr>
                <w:spacing w:val="-5"/>
                <w:position w:val="1"/>
                <w:sz w:val="13"/>
              </w:rPr>
              <w:t>80%</w:t>
            </w:r>
            <w:r>
              <w:rPr>
                <w:position w:val="1"/>
                <w:sz w:val="13"/>
              </w:rPr>
              <w:tab/>
            </w:r>
            <w:r>
              <w:rPr>
                <w:spacing w:val="5"/>
                <w:sz w:val="13"/>
              </w:rPr>
              <w:t>78%</w:t>
            </w:r>
          </w:p>
          <w:p>
            <w:pPr>
              <w:pStyle w:val="TableParagraph"/>
              <w:spacing w:line="89" w:lineRule="exact"/>
              <w:ind w:left="468"/>
              <w:rPr>
                <w:position w:val="-1"/>
                <w:sz w:val="8"/>
              </w:rPr>
            </w:pPr>
            <w:r>
              <w:rPr>
                <w:position w:val="-1"/>
                <w:sz w:val="8"/>
              </w:rPr>
              <mc:AlternateContent>
                <mc:Choice Requires="wps">
                  <w:drawing>
                    <wp:inline distT="0" distB="0" distL="0" distR="0">
                      <wp:extent cx="2423160" cy="56515"/>
                      <wp:effectExtent l="9525" t="0" r="0" b="10159"/>
                      <wp:docPr id="179" name="Group 1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" name="Group 179"/>
                            <wpg:cNvGrpSpPr/>
                            <wpg:grpSpPr>
                              <a:xfrm>
                                <a:off x="0" y="0"/>
                                <a:ext cx="2423160" cy="56515"/>
                                <a:chExt cx="2423160" cy="56515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25364" y="25017"/>
                                  <a:ext cx="237363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3630" h="6985">
                                      <a:moveTo>
                                        <a:pt x="0" y="0"/>
                                      </a:moveTo>
                                      <a:lnTo>
                                        <a:pt x="593341" y="5239"/>
                                      </a:lnTo>
                                      <a:lnTo>
                                        <a:pt x="1186645" y="5239"/>
                                      </a:lnTo>
                                      <a:lnTo>
                                        <a:pt x="1779949" y="1746"/>
                                      </a:lnTo>
                                      <a:lnTo>
                                        <a:pt x="2373253" y="6986"/>
                                      </a:lnTo>
                                    </a:path>
                                  </a:pathLst>
                                </a:custGeom>
                                <a:ln w="10915">
                                  <a:solidFill>
                                    <a:srgbClr val="BBB9B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2750" y="2750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22171" y="0"/>
                                      </a:moveTo>
                                      <a:lnTo>
                                        <a:pt x="13540" y="1715"/>
                                      </a:lnTo>
                                      <a:lnTo>
                                        <a:pt x="6493" y="6393"/>
                                      </a:lnTo>
                                      <a:lnTo>
                                        <a:pt x="1742" y="13333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42" y="30326"/>
                                      </a:lnTo>
                                      <a:lnTo>
                                        <a:pt x="6493" y="37265"/>
                                      </a:lnTo>
                                      <a:lnTo>
                                        <a:pt x="13540" y="41945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30801" y="41945"/>
                                      </a:lnTo>
                                      <a:lnTo>
                                        <a:pt x="37849" y="37265"/>
                                      </a:lnTo>
                                      <a:lnTo>
                                        <a:pt x="42600" y="30326"/>
                                      </a:lnTo>
                                      <a:lnTo>
                                        <a:pt x="44342" y="21831"/>
                                      </a:lnTo>
                                      <a:lnTo>
                                        <a:pt x="42600" y="13333"/>
                                      </a:lnTo>
                                      <a:lnTo>
                                        <a:pt x="37849" y="6393"/>
                                      </a:lnTo>
                                      <a:lnTo>
                                        <a:pt x="30801" y="1715"/>
                                      </a:lnTo>
                                      <a:lnTo>
                                        <a:pt x="221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2750" y="2750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44342" y="21831"/>
                                      </a:moveTo>
                                      <a:lnTo>
                                        <a:pt x="42600" y="30326"/>
                                      </a:lnTo>
                                      <a:lnTo>
                                        <a:pt x="37849" y="37265"/>
                                      </a:lnTo>
                                      <a:lnTo>
                                        <a:pt x="30801" y="41945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13540" y="41945"/>
                                      </a:lnTo>
                                      <a:lnTo>
                                        <a:pt x="6493" y="37265"/>
                                      </a:lnTo>
                                      <a:lnTo>
                                        <a:pt x="1742" y="30326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42" y="13333"/>
                                      </a:lnTo>
                                      <a:lnTo>
                                        <a:pt x="6493" y="6393"/>
                                      </a:lnTo>
                                      <a:lnTo>
                                        <a:pt x="13540" y="1715"/>
                                      </a:lnTo>
                                      <a:lnTo>
                                        <a:pt x="22171" y="0"/>
                                      </a:lnTo>
                                      <a:lnTo>
                                        <a:pt x="30801" y="1715"/>
                                      </a:lnTo>
                                      <a:lnTo>
                                        <a:pt x="37849" y="6393"/>
                                      </a:lnTo>
                                      <a:lnTo>
                                        <a:pt x="42600" y="13333"/>
                                      </a:lnTo>
                                      <a:lnTo>
                                        <a:pt x="44342" y="218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499">
                                  <a:solidFill>
                                    <a:srgbClr val="BBB9B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596091" y="7989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22171" y="0"/>
                                      </a:moveTo>
                                      <a:lnTo>
                                        <a:pt x="13531" y="1715"/>
                                      </a:lnTo>
                                      <a:lnTo>
                                        <a:pt x="6485" y="6393"/>
                                      </a:lnTo>
                                      <a:lnTo>
                                        <a:pt x="1739" y="13333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39" y="30326"/>
                                      </a:lnTo>
                                      <a:lnTo>
                                        <a:pt x="6485" y="37265"/>
                                      </a:lnTo>
                                      <a:lnTo>
                                        <a:pt x="13531" y="41945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30780" y="41945"/>
                                      </a:lnTo>
                                      <a:lnTo>
                                        <a:pt x="37829" y="37265"/>
                                      </a:lnTo>
                                      <a:lnTo>
                                        <a:pt x="42593" y="30326"/>
                                      </a:lnTo>
                                      <a:lnTo>
                                        <a:pt x="44342" y="21831"/>
                                      </a:lnTo>
                                      <a:lnTo>
                                        <a:pt x="42593" y="13333"/>
                                      </a:lnTo>
                                      <a:lnTo>
                                        <a:pt x="37829" y="6393"/>
                                      </a:lnTo>
                                      <a:lnTo>
                                        <a:pt x="30780" y="1715"/>
                                      </a:lnTo>
                                      <a:lnTo>
                                        <a:pt x="221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596091" y="7989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44342" y="21831"/>
                                      </a:moveTo>
                                      <a:lnTo>
                                        <a:pt x="42593" y="30326"/>
                                      </a:lnTo>
                                      <a:lnTo>
                                        <a:pt x="37829" y="37265"/>
                                      </a:lnTo>
                                      <a:lnTo>
                                        <a:pt x="30780" y="41945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13531" y="41945"/>
                                      </a:lnTo>
                                      <a:lnTo>
                                        <a:pt x="6485" y="37265"/>
                                      </a:lnTo>
                                      <a:lnTo>
                                        <a:pt x="1739" y="30326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39" y="13333"/>
                                      </a:lnTo>
                                      <a:lnTo>
                                        <a:pt x="6485" y="6393"/>
                                      </a:lnTo>
                                      <a:lnTo>
                                        <a:pt x="13531" y="1715"/>
                                      </a:lnTo>
                                      <a:lnTo>
                                        <a:pt x="22171" y="0"/>
                                      </a:lnTo>
                                      <a:lnTo>
                                        <a:pt x="30780" y="1715"/>
                                      </a:lnTo>
                                      <a:lnTo>
                                        <a:pt x="37829" y="6393"/>
                                      </a:lnTo>
                                      <a:lnTo>
                                        <a:pt x="42593" y="13333"/>
                                      </a:lnTo>
                                      <a:lnTo>
                                        <a:pt x="44342" y="218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499">
                                  <a:solidFill>
                                    <a:srgbClr val="BBB9B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1189395" y="7989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22171" y="0"/>
                                      </a:moveTo>
                                      <a:lnTo>
                                        <a:pt x="13531" y="1715"/>
                                      </a:lnTo>
                                      <a:lnTo>
                                        <a:pt x="6485" y="6393"/>
                                      </a:lnTo>
                                      <a:lnTo>
                                        <a:pt x="1739" y="13333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39" y="30326"/>
                                      </a:lnTo>
                                      <a:lnTo>
                                        <a:pt x="6485" y="37265"/>
                                      </a:lnTo>
                                      <a:lnTo>
                                        <a:pt x="13531" y="41945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30780" y="41945"/>
                                      </a:lnTo>
                                      <a:lnTo>
                                        <a:pt x="37829" y="37265"/>
                                      </a:lnTo>
                                      <a:lnTo>
                                        <a:pt x="42593" y="30326"/>
                                      </a:lnTo>
                                      <a:lnTo>
                                        <a:pt x="44342" y="21831"/>
                                      </a:lnTo>
                                      <a:lnTo>
                                        <a:pt x="42593" y="13333"/>
                                      </a:lnTo>
                                      <a:lnTo>
                                        <a:pt x="37829" y="6393"/>
                                      </a:lnTo>
                                      <a:lnTo>
                                        <a:pt x="30780" y="1715"/>
                                      </a:lnTo>
                                      <a:lnTo>
                                        <a:pt x="221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1189395" y="7989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44342" y="21831"/>
                                      </a:moveTo>
                                      <a:lnTo>
                                        <a:pt x="42593" y="30326"/>
                                      </a:lnTo>
                                      <a:lnTo>
                                        <a:pt x="37829" y="37265"/>
                                      </a:lnTo>
                                      <a:lnTo>
                                        <a:pt x="30780" y="41945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13531" y="41945"/>
                                      </a:lnTo>
                                      <a:lnTo>
                                        <a:pt x="6485" y="37265"/>
                                      </a:lnTo>
                                      <a:lnTo>
                                        <a:pt x="1739" y="30326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39" y="13333"/>
                                      </a:lnTo>
                                      <a:lnTo>
                                        <a:pt x="6485" y="6393"/>
                                      </a:lnTo>
                                      <a:lnTo>
                                        <a:pt x="13531" y="1715"/>
                                      </a:lnTo>
                                      <a:lnTo>
                                        <a:pt x="22171" y="0"/>
                                      </a:lnTo>
                                      <a:lnTo>
                                        <a:pt x="30780" y="1715"/>
                                      </a:lnTo>
                                      <a:lnTo>
                                        <a:pt x="37829" y="6393"/>
                                      </a:lnTo>
                                      <a:lnTo>
                                        <a:pt x="42593" y="13333"/>
                                      </a:lnTo>
                                      <a:lnTo>
                                        <a:pt x="44342" y="218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499">
                                  <a:solidFill>
                                    <a:srgbClr val="BBB9B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1782625" y="4496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22171" y="0"/>
                                      </a:moveTo>
                                      <a:lnTo>
                                        <a:pt x="13562" y="1715"/>
                                      </a:lnTo>
                                      <a:lnTo>
                                        <a:pt x="6512" y="6393"/>
                                      </a:lnTo>
                                      <a:lnTo>
                                        <a:pt x="1749" y="13333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49" y="30326"/>
                                      </a:lnTo>
                                      <a:lnTo>
                                        <a:pt x="6512" y="37265"/>
                                      </a:lnTo>
                                      <a:lnTo>
                                        <a:pt x="13562" y="41945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30811" y="41945"/>
                                      </a:lnTo>
                                      <a:lnTo>
                                        <a:pt x="37857" y="37265"/>
                                      </a:lnTo>
                                      <a:lnTo>
                                        <a:pt x="42603" y="30326"/>
                                      </a:lnTo>
                                      <a:lnTo>
                                        <a:pt x="44342" y="21831"/>
                                      </a:lnTo>
                                      <a:lnTo>
                                        <a:pt x="42603" y="13333"/>
                                      </a:lnTo>
                                      <a:lnTo>
                                        <a:pt x="37857" y="6393"/>
                                      </a:lnTo>
                                      <a:lnTo>
                                        <a:pt x="30811" y="1715"/>
                                      </a:lnTo>
                                      <a:lnTo>
                                        <a:pt x="221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1782625" y="4496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44342" y="21831"/>
                                      </a:moveTo>
                                      <a:lnTo>
                                        <a:pt x="42603" y="30326"/>
                                      </a:lnTo>
                                      <a:lnTo>
                                        <a:pt x="37857" y="37265"/>
                                      </a:lnTo>
                                      <a:lnTo>
                                        <a:pt x="30811" y="41945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13562" y="41945"/>
                                      </a:lnTo>
                                      <a:lnTo>
                                        <a:pt x="6512" y="37265"/>
                                      </a:lnTo>
                                      <a:lnTo>
                                        <a:pt x="1749" y="30326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49" y="13333"/>
                                      </a:lnTo>
                                      <a:lnTo>
                                        <a:pt x="6512" y="6393"/>
                                      </a:lnTo>
                                      <a:lnTo>
                                        <a:pt x="13562" y="1715"/>
                                      </a:lnTo>
                                      <a:lnTo>
                                        <a:pt x="22171" y="0"/>
                                      </a:lnTo>
                                      <a:lnTo>
                                        <a:pt x="30811" y="1715"/>
                                      </a:lnTo>
                                      <a:lnTo>
                                        <a:pt x="37857" y="6393"/>
                                      </a:lnTo>
                                      <a:lnTo>
                                        <a:pt x="42603" y="13333"/>
                                      </a:lnTo>
                                      <a:lnTo>
                                        <a:pt x="44342" y="218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499">
                                  <a:solidFill>
                                    <a:srgbClr val="BBB9B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2375929" y="9736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22171" y="0"/>
                                      </a:moveTo>
                                      <a:lnTo>
                                        <a:pt x="13562" y="1715"/>
                                      </a:lnTo>
                                      <a:lnTo>
                                        <a:pt x="6512" y="6393"/>
                                      </a:lnTo>
                                      <a:lnTo>
                                        <a:pt x="1749" y="13333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49" y="30326"/>
                                      </a:lnTo>
                                      <a:lnTo>
                                        <a:pt x="6512" y="37265"/>
                                      </a:lnTo>
                                      <a:lnTo>
                                        <a:pt x="13562" y="41945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30811" y="41945"/>
                                      </a:lnTo>
                                      <a:lnTo>
                                        <a:pt x="37857" y="37265"/>
                                      </a:lnTo>
                                      <a:lnTo>
                                        <a:pt x="42603" y="30326"/>
                                      </a:lnTo>
                                      <a:lnTo>
                                        <a:pt x="44342" y="21831"/>
                                      </a:lnTo>
                                      <a:lnTo>
                                        <a:pt x="42603" y="13333"/>
                                      </a:lnTo>
                                      <a:lnTo>
                                        <a:pt x="37857" y="6393"/>
                                      </a:lnTo>
                                      <a:lnTo>
                                        <a:pt x="30811" y="1715"/>
                                      </a:lnTo>
                                      <a:lnTo>
                                        <a:pt x="221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2375929" y="9736"/>
                                  <a:ext cx="44450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43815">
                                      <a:moveTo>
                                        <a:pt x="44342" y="21831"/>
                                      </a:moveTo>
                                      <a:lnTo>
                                        <a:pt x="42603" y="30326"/>
                                      </a:lnTo>
                                      <a:lnTo>
                                        <a:pt x="37857" y="37265"/>
                                      </a:lnTo>
                                      <a:lnTo>
                                        <a:pt x="30811" y="41945"/>
                                      </a:lnTo>
                                      <a:lnTo>
                                        <a:pt x="22171" y="43662"/>
                                      </a:lnTo>
                                      <a:lnTo>
                                        <a:pt x="13562" y="41945"/>
                                      </a:lnTo>
                                      <a:lnTo>
                                        <a:pt x="6512" y="37265"/>
                                      </a:lnTo>
                                      <a:lnTo>
                                        <a:pt x="1749" y="30326"/>
                                      </a:lnTo>
                                      <a:lnTo>
                                        <a:pt x="0" y="21831"/>
                                      </a:lnTo>
                                      <a:lnTo>
                                        <a:pt x="1749" y="13333"/>
                                      </a:lnTo>
                                      <a:lnTo>
                                        <a:pt x="6512" y="6393"/>
                                      </a:lnTo>
                                      <a:lnTo>
                                        <a:pt x="13562" y="1715"/>
                                      </a:lnTo>
                                      <a:lnTo>
                                        <a:pt x="22171" y="0"/>
                                      </a:lnTo>
                                      <a:lnTo>
                                        <a:pt x="30811" y="1715"/>
                                      </a:lnTo>
                                      <a:lnTo>
                                        <a:pt x="37857" y="6393"/>
                                      </a:lnTo>
                                      <a:lnTo>
                                        <a:pt x="42603" y="13333"/>
                                      </a:lnTo>
                                      <a:lnTo>
                                        <a:pt x="44342" y="218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499">
                                  <a:solidFill>
                                    <a:srgbClr val="BBB9B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0.8pt;height:4.45pt;mso-position-horizontal-relative:char;mso-position-vertical-relative:line" id="docshapegroup167" coordorigin="0,0" coordsize="3816,89">
                      <v:shape style="position:absolute;left:39;top:39;width:3738;height:11" id="docshape168" coordorigin="40,39" coordsize="3738,11" path="m40,39l974,48,1909,48,2843,42,3777,50e" filled="false" stroked="true" strokeweight=".859496pt" strokecolor="#bbb9b9">
                        <v:path arrowok="t"/>
                        <v:stroke dashstyle="solid"/>
                      </v:shape>
                      <v:shape style="position:absolute;left:4;top:4;width:70;height:69" id="docshape169" coordorigin="4,4" coordsize="70,69" path="m39,4l26,7,15,14,7,25,4,39,7,52,15,63,26,70,39,73,53,70,64,63,71,52,74,39,71,25,64,14,53,7,39,4xe" filled="true" fillcolor="#ffffff" stroked="false">
                        <v:path arrowok="t"/>
                        <v:fill type="solid"/>
                      </v:shape>
                      <v:shape style="position:absolute;left:4;top:4;width:70;height:69" id="docshape170" coordorigin="4,4" coordsize="70,69" path="m74,39l71,52,64,63,53,70,39,73,26,70,15,63,7,52,4,39,7,25,15,14,26,7,39,4,53,7,64,14,71,25,74,39xe" filled="false" stroked="true" strokeweight=".433044pt" strokecolor="#bbb9b9">
                        <v:path arrowok="t"/>
                        <v:stroke dashstyle="solid"/>
                      </v:shape>
                      <v:shape style="position:absolute;left:938;top:12;width:70;height:69" id="docshape171" coordorigin="939,13" coordsize="70,69" path="m974,13l960,15,949,23,941,34,939,47,941,60,949,71,960,79,974,81,987,79,998,71,1006,60,1009,47,1006,34,998,23,987,15,974,13xe" filled="true" fillcolor="#ffffff" stroked="false">
                        <v:path arrowok="t"/>
                        <v:fill type="solid"/>
                      </v:shape>
                      <v:shape style="position:absolute;left:938;top:12;width:70;height:69" id="docshape172" coordorigin="939,13" coordsize="70,69" path="m1009,47l1006,60,998,71,987,79,974,81,960,79,949,71,941,60,939,47,941,34,949,23,960,15,974,13,987,15,998,23,1006,34,1009,47xe" filled="false" stroked="true" strokeweight=".433044pt" strokecolor="#bbb9b9">
                        <v:path arrowok="t"/>
                        <v:stroke dashstyle="solid"/>
                      </v:shape>
                      <v:shape style="position:absolute;left:1873;top:12;width:70;height:69" id="docshape173" coordorigin="1873,13" coordsize="70,69" path="m1908,13l1894,15,1883,23,1876,34,1873,47,1876,60,1883,71,1894,79,1908,81,1922,79,1933,71,1940,60,1943,47,1940,34,1933,23,1922,15,1908,13xe" filled="true" fillcolor="#ffffff" stroked="false">
                        <v:path arrowok="t"/>
                        <v:fill type="solid"/>
                      </v:shape>
                      <v:shape style="position:absolute;left:1873;top:12;width:70;height:69" id="docshape174" coordorigin="1873,13" coordsize="70,69" path="m1943,47l1940,60,1933,71,1922,79,1908,81,1894,79,1883,71,1876,60,1873,47,1876,34,1883,23,1894,15,1908,13,1922,15,1933,23,1940,34,1943,47xe" filled="false" stroked="true" strokeweight=".433044pt" strokecolor="#bbb9b9">
                        <v:path arrowok="t"/>
                        <v:stroke dashstyle="solid"/>
                      </v:shape>
                      <v:shape style="position:absolute;left:2807;top:7;width:70;height:69" id="docshape175" coordorigin="2807,7" coordsize="70,69" path="m2842,7l2829,10,2818,17,2810,28,2807,41,2810,55,2818,66,2829,73,2842,76,2856,73,2867,66,2874,55,2877,41,2874,28,2867,17,2856,10,2842,7xe" filled="true" fillcolor="#ffffff" stroked="false">
                        <v:path arrowok="t"/>
                        <v:fill type="solid"/>
                      </v:shape>
                      <v:shape style="position:absolute;left:2807;top:7;width:70;height:69" id="docshape176" coordorigin="2807,7" coordsize="70,69" path="m2877,41l2874,55,2867,66,2856,73,2842,76,2829,73,2818,66,2810,55,2807,41,2810,28,2818,17,2829,10,2842,7,2856,10,2867,17,2874,28,2877,41xe" filled="false" stroked="true" strokeweight=".433044pt" strokecolor="#bbb9b9">
                        <v:path arrowok="t"/>
                        <v:stroke dashstyle="solid"/>
                      </v:shape>
                      <v:shape style="position:absolute;left:3741;top:15;width:70;height:69" id="docshape177" coordorigin="3742,15" coordsize="70,69" path="m3777,15l3763,18,3752,25,3744,36,3742,50,3744,63,3752,74,3763,81,3777,84,3790,81,3801,74,3809,63,3811,50,3809,36,3801,25,3790,18,3777,15xe" filled="true" fillcolor="#ffffff" stroked="false">
                        <v:path arrowok="t"/>
                        <v:fill type="solid"/>
                      </v:shape>
                      <v:shape style="position:absolute;left:3741;top:15;width:70;height:69" id="docshape178" coordorigin="3742,15" coordsize="70,69" path="m3811,50l3809,63,3801,74,3790,81,3777,84,3763,81,3752,74,3744,63,3742,50,3744,36,3752,25,3763,18,3777,15,3790,18,3801,25,3809,36,3811,50xe" filled="false" stroked="true" strokeweight=".433044pt" strokecolor="#bbb9b9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8"/>
              </w:rPr>
            </w:r>
          </w:p>
          <w:p>
            <w:pPr>
              <w:pStyle w:val="TableParagraph"/>
              <w:spacing w:before="22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50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373630" cy="5715"/>
                      <wp:effectExtent l="9525" t="0" r="0" b="3810"/>
                      <wp:docPr id="191" name="Group 1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1" name="Group 191"/>
                            <wpg:cNvGrpSpPr/>
                            <wpg:grpSpPr>
                              <a:xfrm>
                                <a:off x="0" y="0"/>
                                <a:ext cx="2373630" cy="5715"/>
                                <a:chExt cx="2373630" cy="5715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2728"/>
                                  <a:ext cx="23736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3630" h="0">
                                      <a:moveTo>
                                        <a:pt x="0" y="0"/>
                                      </a:moveTo>
                                      <a:lnTo>
                                        <a:pt x="2373179" y="0"/>
                                      </a:lnTo>
                                    </a:path>
                                  </a:pathLst>
                                </a:custGeom>
                                <a:ln w="5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6.9pt;height:.45pt;mso-position-horizontal-relative:char;mso-position-vertical-relative:line" id="docshapegroup179" coordorigin="0,0" coordsize="3738,9">
                      <v:line style="position:absolute" from="0,4" to="3737,4" stroked="true" strokeweight=".4297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214" w:val="left" w:leader="none"/>
                <w:tab w:pos="2148" w:val="left" w:leader="none"/>
                <w:tab w:pos="3057" w:val="left" w:leader="none"/>
                <w:tab w:pos="4001" w:val="left" w:leader="none"/>
              </w:tabs>
              <w:spacing w:before="29"/>
              <w:ind w:left="262"/>
              <w:rPr>
                <w:sz w:val="13"/>
              </w:rPr>
            </w:pPr>
            <w:r>
              <w:rPr>
                <w:spacing w:val="-2"/>
                <w:w w:val="90"/>
                <w:sz w:val="13"/>
              </w:rPr>
              <w:t>Ιουν-</w:t>
            </w:r>
            <w:r>
              <w:rPr>
                <w:spacing w:val="-5"/>
                <w:sz w:val="13"/>
              </w:rPr>
              <w:t>25</w:t>
            </w:r>
            <w:r>
              <w:rPr>
                <w:sz w:val="13"/>
              </w:rPr>
              <w:tab/>
            </w:r>
            <w:r>
              <w:rPr>
                <w:w w:val="90"/>
                <w:sz w:val="13"/>
              </w:rPr>
              <w:t>Σεπ-</w:t>
            </w:r>
            <w:r>
              <w:rPr>
                <w:spacing w:val="-5"/>
                <w:sz w:val="13"/>
              </w:rPr>
              <w:t>25</w:t>
            </w:r>
            <w:r>
              <w:rPr>
                <w:sz w:val="13"/>
              </w:rPr>
              <w:tab/>
            </w:r>
            <w:r>
              <w:rPr>
                <w:w w:val="95"/>
                <w:sz w:val="13"/>
              </w:rPr>
              <w:t>Δεκ-</w:t>
            </w:r>
            <w:r>
              <w:rPr>
                <w:spacing w:val="-5"/>
                <w:sz w:val="13"/>
              </w:rPr>
              <w:t>25</w:t>
            </w:r>
            <w:r>
              <w:rPr>
                <w:sz w:val="13"/>
              </w:rPr>
              <w:tab/>
            </w:r>
            <w:r>
              <w:rPr>
                <w:spacing w:val="-2"/>
                <w:sz w:val="13"/>
              </w:rPr>
              <w:t>Μαρ-</w:t>
            </w:r>
            <w:r>
              <w:rPr>
                <w:spacing w:val="-5"/>
                <w:sz w:val="13"/>
              </w:rPr>
              <w:t>26</w:t>
            </w:r>
            <w:r>
              <w:rPr>
                <w:sz w:val="13"/>
              </w:rPr>
              <w:tab/>
            </w:r>
            <w:r>
              <w:rPr>
                <w:spacing w:val="-2"/>
                <w:w w:val="90"/>
                <w:sz w:val="13"/>
              </w:rPr>
              <w:t>Ιουν-</w:t>
            </w:r>
            <w:r>
              <w:rPr>
                <w:spacing w:val="5"/>
                <w:sz w:val="13"/>
              </w:rPr>
              <w:t>26</w:t>
            </w:r>
          </w:p>
        </w:tc>
      </w:tr>
    </w:tbl>
    <w:p>
      <w:pPr>
        <w:pStyle w:val="BodyText"/>
        <w:spacing w:before="113"/>
        <w:ind w:left="566" w:right="639"/>
        <w:jc w:val="both"/>
      </w:pPr>
      <w:r>
        <w:rPr>
          <w:w w:val="90"/>
        </w:rPr>
        <w:t>Οι συνολικές καταθέσεις του Ομίλου αυξήθηκαν κατά €3,1 δισ. ή 5,5% σε τριμηνιαία βάση και διαμορφώθηκαν σε €58,5 δισ., ως αποτέλεσμα της αύξησης των κύριων καταθέσεων (+€1,6 δισ.) καθώς και των καταθέσεων προθεσμίας (+€1,4</w:t>
      </w:r>
    </w:p>
    <w:p>
      <w:pPr>
        <w:pStyle w:val="BodyText"/>
        <w:ind w:left="566" w:right="857"/>
        <w:jc w:val="both"/>
      </w:pPr>
      <w:r>
        <w:rPr>
          <w:w w:val="90"/>
        </w:rPr>
        <w:t>δισ.) κυρίως από επιχειρήσεις. Σε ετήσια βάση, οι καταθέσεις του Ομίλου αυξήθηκαν κατά €7,2 δισ. ή 14% κυρίως ως </w:t>
      </w:r>
      <w:r>
        <w:rPr>
          <w:spacing w:val="-8"/>
        </w:rPr>
        <w:t>αποτέλεσμα</w:t>
      </w:r>
      <w:r>
        <w:rPr/>
        <w:t> </w:t>
      </w:r>
      <w:r>
        <w:rPr>
          <w:spacing w:val="-8"/>
        </w:rPr>
        <w:t>της</w:t>
      </w:r>
      <w:r>
        <w:rPr>
          <w:spacing w:val="-1"/>
        </w:rPr>
        <w:t> </w:t>
      </w:r>
      <w:r>
        <w:rPr>
          <w:spacing w:val="-8"/>
        </w:rPr>
        <w:t>αύξησης</w:t>
      </w:r>
      <w:r>
        <w:rPr/>
        <w:t> </w:t>
      </w:r>
      <w:r>
        <w:rPr>
          <w:spacing w:val="-8"/>
        </w:rPr>
        <w:t>των</w:t>
      </w:r>
      <w:r>
        <w:rPr>
          <w:spacing w:val="-1"/>
        </w:rPr>
        <w:t> </w:t>
      </w:r>
      <w:r>
        <w:rPr>
          <w:spacing w:val="-8"/>
        </w:rPr>
        <w:t>καταθέσεων</w:t>
      </w:r>
      <w:r>
        <w:rPr>
          <w:spacing w:val="-1"/>
        </w:rPr>
        <w:t> </w:t>
      </w:r>
      <w:r>
        <w:rPr>
          <w:spacing w:val="-8"/>
        </w:rPr>
        <w:t>πρώτης</w:t>
      </w:r>
      <w:r>
        <w:rPr>
          <w:spacing w:val="-2"/>
        </w:rPr>
        <w:t> </w:t>
      </w:r>
      <w:r>
        <w:rPr>
          <w:spacing w:val="-8"/>
        </w:rPr>
        <w:t>ζήτησης.</w:t>
      </w:r>
      <w:r>
        <w:rPr/>
        <w:t> </w:t>
      </w:r>
      <w:r>
        <w:rPr>
          <w:spacing w:val="-8"/>
        </w:rPr>
        <w:t>Το</w:t>
      </w:r>
      <w:r>
        <w:rPr>
          <w:spacing w:val="-2"/>
        </w:rPr>
        <w:t> </w:t>
      </w:r>
      <w:r>
        <w:rPr>
          <w:spacing w:val="-8"/>
        </w:rPr>
        <w:t>ποσοστό</w:t>
      </w:r>
      <w:r>
        <w:rPr/>
        <w:t> </w:t>
      </w:r>
      <w:r>
        <w:rPr>
          <w:spacing w:val="-8"/>
        </w:rPr>
        <w:t>των</w:t>
      </w:r>
      <w:r>
        <w:rPr/>
        <w:t> </w:t>
      </w:r>
      <w:r>
        <w:rPr>
          <w:spacing w:val="-8"/>
        </w:rPr>
        <w:t>προθεσμιακών</w:t>
      </w:r>
      <w:r>
        <w:rPr>
          <w:spacing w:val="-1"/>
        </w:rPr>
        <w:t> </w:t>
      </w:r>
      <w:r>
        <w:rPr>
          <w:spacing w:val="-8"/>
        </w:rPr>
        <w:t>καταθέσεων</w:t>
      </w:r>
      <w:r>
        <w:rPr>
          <w:spacing w:val="-1"/>
        </w:rPr>
        <w:t> </w:t>
      </w:r>
      <w:r>
        <w:rPr>
          <w:spacing w:val="-8"/>
        </w:rPr>
        <w:t>στο</w:t>
      </w:r>
      <w:r>
        <w:rPr>
          <w:spacing w:val="-1"/>
        </w:rPr>
        <w:t> </w:t>
      </w:r>
      <w:r>
        <w:rPr>
          <w:spacing w:val="-8"/>
        </w:rPr>
        <w:t>σύνολο </w:t>
      </w:r>
      <w:r>
        <w:rPr>
          <w:spacing w:val="-6"/>
        </w:rPr>
        <w:t>της</w:t>
      </w:r>
      <w:r>
        <w:rPr>
          <w:spacing w:val="-9"/>
        </w:rPr>
        <w:t> </w:t>
      </w:r>
      <w:r>
        <w:rPr>
          <w:spacing w:val="-6"/>
        </w:rPr>
        <w:t>εγχώριας</w:t>
      </w:r>
      <w:r>
        <w:rPr>
          <w:spacing w:val="-7"/>
        </w:rPr>
        <w:t> </w:t>
      </w:r>
      <w:r>
        <w:rPr>
          <w:spacing w:val="-6"/>
        </w:rPr>
        <w:t>καταθετικής</w:t>
      </w:r>
      <w:r>
        <w:rPr>
          <w:spacing w:val="-8"/>
        </w:rPr>
        <w:t> </w:t>
      </w:r>
      <w:r>
        <w:rPr>
          <w:spacing w:val="-6"/>
        </w:rPr>
        <w:t>βάσης</w:t>
      </w:r>
      <w:r>
        <w:rPr>
          <w:spacing w:val="-8"/>
        </w:rPr>
        <w:t> </w:t>
      </w:r>
      <w:r>
        <w:rPr>
          <w:spacing w:val="-6"/>
        </w:rPr>
        <w:t>ανήλθε</w:t>
      </w:r>
      <w:r>
        <w:rPr>
          <w:spacing w:val="-10"/>
        </w:rPr>
        <w:t> </w:t>
      </w:r>
      <w:r>
        <w:rPr>
          <w:spacing w:val="-6"/>
        </w:rPr>
        <w:t>σε</w:t>
      </w:r>
      <w:r>
        <w:rPr>
          <w:spacing w:val="-10"/>
        </w:rPr>
        <w:t> </w:t>
      </w:r>
      <w:r>
        <w:rPr>
          <w:spacing w:val="-6"/>
        </w:rPr>
        <w:t>26%.</w:t>
      </w:r>
      <w:r>
        <w:rPr>
          <w:spacing w:val="-11"/>
        </w:rPr>
        <w:t> </w:t>
      </w:r>
      <w:r>
        <w:rPr>
          <w:spacing w:val="-6"/>
        </w:rPr>
        <w:t>Το</w:t>
      </w:r>
      <w:r>
        <w:rPr>
          <w:spacing w:val="-9"/>
        </w:rPr>
        <w:t> </w:t>
      </w:r>
      <w:r>
        <w:rPr>
          <w:spacing w:val="-6"/>
        </w:rPr>
        <w:t>β’</w:t>
      </w:r>
      <w:r>
        <w:rPr>
          <w:spacing w:val="-9"/>
        </w:rPr>
        <w:t> </w:t>
      </w:r>
      <w:r>
        <w:rPr>
          <w:spacing w:val="-6"/>
        </w:rPr>
        <w:t>τρίμηνο</w:t>
      </w:r>
      <w:r>
        <w:rPr>
          <w:spacing w:val="-9"/>
        </w:rPr>
        <w:t> </w:t>
      </w:r>
      <w:r>
        <w:rPr>
          <w:spacing w:val="-6"/>
        </w:rPr>
        <w:t>2026,</w:t>
      </w:r>
      <w:r>
        <w:rPr>
          <w:spacing w:val="-9"/>
        </w:rPr>
        <w:t> </w:t>
      </w:r>
      <w:r>
        <w:rPr>
          <w:spacing w:val="-6"/>
        </w:rPr>
        <w:t>η</w:t>
      </w:r>
      <w:r>
        <w:rPr>
          <w:spacing w:val="-11"/>
        </w:rPr>
        <w:t> </w:t>
      </w:r>
      <w:r>
        <w:rPr>
          <w:spacing w:val="-6"/>
        </w:rPr>
        <w:t>αύξηση</w:t>
      </w:r>
      <w:r>
        <w:rPr>
          <w:spacing w:val="-9"/>
        </w:rPr>
        <w:t> </w:t>
      </w:r>
      <w:r>
        <w:rPr>
          <w:spacing w:val="-6"/>
        </w:rPr>
        <w:t>των</w:t>
      </w:r>
      <w:r>
        <w:rPr>
          <w:spacing w:val="-10"/>
        </w:rPr>
        <w:t> </w:t>
      </w:r>
      <w:r>
        <w:rPr>
          <w:spacing w:val="-6"/>
        </w:rPr>
        <w:t>επιτοκίων</w:t>
      </w:r>
      <w:r>
        <w:rPr>
          <w:spacing w:val="-10"/>
        </w:rPr>
        <w:t> </w:t>
      </w:r>
      <w:r>
        <w:rPr>
          <w:spacing w:val="-6"/>
        </w:rPr>
        <w:t>καταθέσεων,</w:t>
      </w:r>
      <w:r>
        <w:rPr>
          <w:spacing w:val="-11"/>
        </w:rPr>
        <w:t> </w:t>
      </w:r>
      <w:r>
        <w:rPr>
          <w:spacing w:val="-6"/>
        </w:rPr>
        <w:t>ως</w:t>
      </w:r>
    </w:p>
    <w:p>
      <w:pPr>
        <w:pStyle w:val="BodyText"/>
        <w:ind w:left="566" w:right="759"/>
        <w:jc w:val="both"/>
      </w:pPr>
      <w:r>
        <w:rPr>
          <w:w w:val="90"/>
        </w:rPr>
        <w:t>ποσοστό της αύξησης των επιτοκίων της αγοράς (beta), ανήλθε σε 20% σχεδόν αμετάβλητο σε σχέση με το α’ τρίμηνο </w:t>
      </w:r>
      <w:r>
        <w:rPr>
          <w:spacing w:val="-6"/>
        </w:rPr>
        <w:t>2026, ενώ το ποσοστό</w:t>
      </w:r>
      <w:r>
        <w:rPr>
          <w:spacing w:val="-7"/>
        </w:rPr>
        <w:t> </w:t>
      </w:r>
      <w:r>
        <w:rPr>
          <w:spacing w:val="-6"/>
        </w:rPr>
        <w:t>μετάβασης του επιτοκίου Euribor στις προθεσμιακές καταθέσεις αυξήθηκε σε 64%.</w:t>
      </w:r>
    </w:p>
    <w:p>
      <w:pPr>
        <w:pStyle w:val="BodyText"/>
        <w:spacing w:before="110"/>
        <w:ind w:left="566" w:right="749"/>
      </w:pPr>
      <w:r>
        <w:rPr>
          <w:w w:val="90"/>
        </w:rPr>
        <w:t>Τα υπό διαχείριση κεφάλαια (AUMs) αυξήθηκαν κατά +€2,5 δισ. σε τριμηνιαία βάση ή +9,5% στα €29,1 δισ., λόγω των υψηλότερων αποτιμήσεων. Οι</w:t>
      </w:r>
      <w:r>
        <w:rPr/>
        <w:t> </w:t>
      </w:r>
      <w:r>
        <w:rPr>
          <w:w w:val="90"/>
        </w:rPr>
        <w:t>καθαρές</w:t>
      </w:r>
      <w:r>
        <w:rPr/>
        <w:t> </w:t>
      </w:r>
      <w:r>
        <w:rPr>
          <w:w w:val="90"/>
        </w:rPr>
        <w:t>πωλήσεις</w:t>
      </w:r>
      <w:r>
        <w:rPr/>
        <w:t> </w:t>
      </w:r>
      <w:r>
        <w:rPr>
          <w:w w:val="90"/>
        </w:rPr>
        <w:t>διαμορφώθηκαν σε €0,6 δισ. στο</w:t>
      </w:r>
      <w:r>
        <w:rPr/>
        <w:t> </w:t>
      </w:r>
      <w:r>
        <w:rPr>
          <w:w w:val="90"/>
        </w:rPr>
        <w:t>τρίμηνο έναντι €0,2</w:t>
      </w:r>
      <w:r>
        <w:rPr/>
        <w:t> </w:t>
      </w:r>
      <w:r>
        <w:rPr>
          <w:w w:val="90"/>
        </w:rPr>
        <w:t>δισ. στο πρώτο</w:t>
      </w:r>
      <w:r>
        <w:rPr>
          <w:spacing w:val="40"/>
        </w:rPr>
        <w:t> </w:t>
      </w:r>
      <w:r>
        <w:rPr/>
        <w:t>τρίμηνο</w:t>
      </w:r>
      <w:r>
        <w:rPr>
          <w:spacing w:val="-1"/>
        </w:rPr>
        <w:t> </w:t>
      </w:r>
      <w:r>
        <w:rPr/>
        <w:t>2026.</w:t>
      </w:r>
    </w:p>
    <w:p>
      <w:pPr>
        <w:spacing w:before="205"/>
        <w:ind w:left="600" w:right="0" w:firstLine="0"/>
        <w:jc w:val="left"/>
        <w:rPr>
          <w:sz w:val="20"/>
        </w:rPr>
      </w:pPr>
      <w:r>
        <w:rPr>
          <w:color w:val="E2882D"/>
          <w:w w:val="90"/>
          <w:sz w:val="20"/>
        </w:rPr>
        <w:t>Δείκτης</w:t>
      </w:r>
      <w:r>
        <w:rPr>
          <w:color w:val="E2882D"/>
          <w:spacing w:val="19"/>
          <w:sz w:val="20"/>
        </w:rPr>
        <w:t> </w:t>
      </w:r>
      <w:r>
        <w:rPr>
          <w:color w:val="E2882D"/>
          <w:w w:val="90"/>
          <w:sz w:val="20"/>
        </w:rPr>
        <w:t>Κάλυψης</w:t>
      </w:r>
      <w:r>
        <w:rPr>
          <w:color w:val="E2882D"/>
          <w:spacing w:val="20"/>
          <w:sz w:val="20"/>
        </w:rPr>
        <w:t> </w:t>
      </w:r>
      <w:r>
        <w:rPr>
          <w:color w:val="E2882D"/>
          <w:w w:val="90"/>
          <w:sz w:val="20"/>
        </w:rPr>
        <w:t>Ρευστότητας</w:t>
      </w:r>
      <w:r>
        <w:rPr>
          <w:color w:val="E2882D"/>
          <w:spacing w:val="24"/>
          <w:sz w:val="20"/>
        </w:rPr>
        <w:t> </w:t>
      </w:r>
      <w:r>
        <w:rPr>
          <w:color w:val="E2882D"/>
          <w:spacing w:val="-4"/>
          <w:w w:val="90"/>
          <w:sz w:val="20"/>
        </w:rPr>
        <w:t>197%</w:t>
      </w:r>
    </w:p>
    <w:p>
      <w:pPr>
        <w:pStyle w:val="BodyText"/>
        <w:spacing w:before="118"/>
        <w:ind w:left="566" w:right="749"/>
      </w:pPr>
      <w:r>
        <w:rPr>
          <w:w w:val="90"/>
        </w:rPr>
        <w:t>Τον Ιούνιο 2026, η χρηματοδότηση από την Ευρωπαϊκή Κεντρική Τράπεζα (ΕΚΤ) ανήλθε σε €2,7 δισ. από €2,8 δισ. τον </w:t>
      </w:r>
      <w:r>
        <w:rPr>
          <w:spacing w:val="-6"/>
        </w:rPr>
        <w:t>Μάρτιο</w:t>
      </w:r>
      <w:r>
        <w:rPr>
          <w:spacing w:val="-12"/>
        </w:rPr>
        <w:t> </w:t>
      </w:r>
      <w:r>
        <w:rPr>
          <w:spacing w:val="-6"/>
        </w:rPr>
        <w:t>2026.</w:t>
      </w:r>
      <w:r>
        <w:rPr>
          <w:spacing w:val="-11"/>
        </w:rPr>
        <w:t> </w:t>
      </w:r>
      <w:r>
        <w:rPr>
          <w:spacing w:val="-6"/>
        </w:rPr>
        <w:t>Το</w:t>
      </w:r>
      <w:r>
        <w:rPr>
          <w:spacing w:val="-11"/>
        </w:rPr>
        <w:t> </w:t>
      </w:r>
      <w:r>
        <w:rPr>
          <w:spacing w:val="-6"/>
        </w:rPr>
        <w:t>κόστος</w:t>
      </w:r>
      <w:r>
        <w:rPr>
          <w:spacing w:val="-11"/>
        </w:rPr>
        <w:t> </w:t>
      </w:r>
      <w:r>
        <w:rPr>
          <w:spacing w:val="-6"/>
        </w:rPr>
        <w:t>χρηματοδότησης</w:t>
      </w:r>
      <w:r>
        <w:rPr>
          <w:spacing w:val="-11"/>
        </w:rPr>
        <w:t> </w:t>
      </w:r>
      <w:r>
        <w:rPr>
          <w:spacing w:val="-6"/>
        </w:rPr>
        <w:t>της</w:t>
      </w:r>
      <w:r>
        <w:rPr>
          <w:spacing w:val="-11"/>
        </w:rPr>
        <w:t> </w:t>
      </w:r>
      <w:r>
        <w:rPr>
          <w:spacing w:val="-6"/>
        </w:rPr>
        <w:t>Τράπεζας</w:t>
      </w:r>
      <w:r>
        <w:rPr>
          <w:spacing w:val="-12"/>
        </w:rPr>
        <w:t> </w:t>
      </w:r>
      <w:r>
        <w:rPr>
          <w:spacing w:val="-6"/>
        </w:rPr>
        <w:t>αυξήθηκε</w:t>
      </w:r>
      <w:r>
        <w:rPr>
          <w:spacing w:val="-11"/>
        </w:rPr>
        <w:t> </w:t>
      </w:r>
      <w:r>
        <w:rPr>
          <w:spacing w:val="-6"/>
        </w:rPr>
        <w:t>σε</w:t>
      </w:r>
      <w:r>
        <w:rPr>
          <w:spacing w:val="-12"/>
        </w:rPr>
        <w:t> </w:t>
      </w:r>
      <w:r>
        <w:rPr>
          <w:spacing w:val="-6"/>
        </w:rPr>
        <w:t>98</w:t>
      </w:r>
      <w:r>
        <w:rPr>
          <w:spacing w:val="-11"/>
        </w:rPr>
        <w:t> </w:t>
      </w:r>
      <w:r>
        <w:rPr>
          <w:spacing w:val="-6"/>
        </w:rPr>
        <w:t>μ.β.</w:t>
      </w:r>
      <w:r>
        <w:rPr>
          <w:spacing w:val="-11"/>
        </w:rPr>
        <w:t> </w:t>
      </w:r>
      <w:r>
        <w:rPr>
          <w:spacing w:val="-6"/>
        </w:rPr>
        <w:t>το</w:t>
      </w:r>
      <w:r>
        <w:rPr>
          <w:spacing w:val="-11"/>
        </w:rPr>
        <w:t> </w:t>
      </w:r>
      <w:r>
        <w:rPr>
          <w:spacing w:val="-6"/>
        </w:rPr>
        <w:t>β΄</w:t>
      </w:r>
      <w:r>
        <w:rPr>
          <w:spacing w:val="-11"/>
        </w:rPr>
        <w:t> </w:t>
      </w:r>
      <w:r>
        <w:rPr>
          <w:spacing w:val="-6"/>
        </w:rPr>
        <w:t>τρίμηνο</w:t>
      </w:r>
      <w:r>
        <w:rPr>
          <w:spacing w:val="-10"/>
        </w:rPr>
        <w:t> </w:t>
      </w:r>
      <w:r>
        <w:rPr>
          <w:spacing w:val="-6"/>
        </w:rPr>
        <w:t>2026</w:t>
      </w:r>
      <w:r>
        <w:rPr>
          <w:spacing w:val="-11"/>
        </w:rPr>
        <w:t> </w:t>
      </w:r>
      <w:r>
        <w:rPr>
          <w:spacing w:val="-6"/>
        </w:rPr>
        <w:t>από</w:t>
      </w:r>
      <w:r>
        <w:rPr>
          <w:spacing w:val="-12"/>
        </w:rPr>
        <w:t> </w:t>
      </w:r>
      <w:r>
        <w:rPr>
          <w:spacing w:val="-6"/>
        </w:rPr>
        <w:t>96</w:t>
      </w:r>
      <w:r>
        <w:rPr>
          <w:spacing w:val="-11"/>
        </w:rPr>
        <w:t> </w:t>
      </w:r>
      <w:r>
        <w:rPr>
          <w:spacing w:val="-6"/>
        </w:rPr>
        <w:t>μ.β.</w:t>
      </w:r>
      <w:r>
        <w:rPr>
          <w:spacing w:val="-11"/>
        </w:rPr>
        <w:t> </w:t>
      </w:r>
      <w:r>
        <w:rPr>
          <w:spacing w:val="-6"/>
        </w:rPr>
        <w:t>το</w:t>
      </w:r>
      <w:r>
        <w:rPr>
          <w:spacing w:val="-11"/>
        </w:rPr>
        <w:t> </w:t>
      </w:r>
      <w:r>
        <w:rPr>
          <w:spacing w:val="-6"/>
        </w:rPr>
        <w:t>α’</w:t>
      </w:r>
    </w:p>
    <w:p>
      <w:pPr>
        <w:pStyle w:val="BodyText"/>
        <w:ind w:left="566" w:right="1044"/>
      </w:pPr>
      <w:r>
        <w:rPr>
          <w:w w:val="90"/>
        </w:rPr>
        <w:t>τρίμηνο 2026, κυρίως ως αποτέλεσμα</w:t>
      </w:r>
      <w:r>
        <w:rPr/>
        <w:t> </w:t>
      </w:r>
      <w:r>
        <w:rPr>
          <w:w w:val="90"/>
        </w:rPr>
        <w:t>των υψηλότερων υπολοίπων λόγω εκδόσεων καθώς και του αυξημένου</w:t>
      </w:r>
      <w:r>
        <w:rPr>
          <w:spacing w:val="40"/>
        </w:rPr>
        <w:t> </w:t>
      </w:r>
      <w:r>
        <w:rPr/>
        <w:t>κόστους</w:t>
      </w:r>
      <w:r>
        <w:rPr>
          <w:spacing w:val="-14"/>
        </w:rPr>
        <w:t> </w:t>
      </w:r>
      <w:r>
        <w:rPr/>
        <w:t>των</w:t>
      </w:r>
      <w:r>
        <w:rPr>
          <w:spacing w:val="-15"/>
        </w:rPr>
        <w:t> </w:t>
      </w:r>
      <w:r>
        <w:rPr/>
        <w:t>καταθέσεων.</w:t>
      </w:r>
    </w:p>
    <w:p>
      <w:pPr>
        <w:pStyle w:val="BodyText"/>
        <w:spacing w:line="219" w:lineRule="exact" w:before="113"/>
        <w:ind w:left="566"/>
        <w:jc w:val="both"/>
      </w:pPr>
      <w:r>
        <w:rPr>
          <w:w w:val="90"/>
        </w:rPr>
        <w:t>Τον</w:t>
      </w:r>
      <w:r>
        <w:rPr>
          <w:spacing w:val="12"/>
        </w:rPr>
        <w:t> </w:t>
      </w:r>
      <w:r>
        <w:rPr>
          <w:w w:val="90"/>
        </w:rPr>
        <w:t>Απρίλιο</w:t>
      </w:r>
      <w:r>
        <w:rPr>
          <w:spacing w:val="14"/>
        </w:rPr>
        <w:t> </w:t>
      </w:r>
      <w:r>
        <w:rPr>
          <w:w w:val="90"/>
        </w:rPr>
        <w:t>2026,</w:t>
      </w:r>
      <w:r>
        <w:rPr>
          <w:spacing w:val="11"/>
        </w:rPr>
        <w:t> </w:t>
      </w:r>
      <w:r>
        <w:rPr>
          <w:w w:val="90"/>
        </w:rPr>
        <w:t>η</w:t>
      </w:r>
      <w:r>
        <w:rPr>
          <w:spacing w:val="16"/>
        </w:rPr>
        <w:t> </w:t>
      </w:r>
      <w:r>
        <w:rPr>
          <w:w w:val="90"/>
        </w:rPr>
        <w:t>Τράπεζα</w:t>
      </w:r>
      <w:r>
        <w:rPr>
          <w:spacing w:val="9"/>
        </w:rPr>
        <w:t> </w:t>
      </w:r>
      <w:r>
        <w:rPr>
          <w:w w:val="90"/>
        </w:rPr>
        <w:t>ολοκλήρωσε</w:t>
      </w:r>
      <w:r>
        <w:rPr>
          <w:spacing w:val="13"/>
        </w:rPr>
        <w:t> </w:t>
      </w:r>
      <w:r>
        <w:rPr>
          <w:w w:val="90"/>
        </w:rPr>
        <w:t>με</w:t>
      </w:r>
      <w:r>
        <w:rPr>
          <w:spacing w:val="13"/>
        </w:rPr>
        <w:t> </w:t>
      </w:r>
      <w:r>
        <w:rPr>
          <w:w w:val="90"/>
        </w:rPr>
        <w:t>επιτυχία</w:t>
      </w:r>
      <w:r>
        <w:rPr>
          <w:spacing w:val="14"/>
        </w:rPr>
        <w:t> </w:t>
      </w:r>
      <w:r>
        <w:rPr>
          <w:w w:val="90"/>
        </w:rPr>
        <w:t>την</w:t>
      </w:r>
      <w:r>
        <w:rPr>
          <w:spacing w:val="9"/>
        </w:rPr>
        <w:t> </w:t>
      </w:r>
      <w:r>
        <w:rPr>
          <w:w w:val="90"/>
        </w:rPr>
        <w:t>τιμολόγηση</w:t>
      </w:r>
      <w:r>
        <w:rPr>
          <w:spacing w:val="13"/>
        </w:rPr>
        <w:t> </w:t>
      </w:r>
      <w:r>
        <w:rPr>
          <w:w w:val="90"/>
        </w:rPr>
        <w:t>6ετούς</w:t>
      </w:r>
      <w:r>
        <w:rPr>
          <w:spacing w:val="15"/>
        </w:rPr>
        <w:t> </w:t>
      </w:r>
      <w:r>
        <w:rPr>
          <w:w w:val="90"/>
        </w:rPr>
        <w:t>Πράσινου</w:t>
      </w:r>
      <w:r>
        <w:rPr>
          <w:spacing w:val="15"/>
        </w:rPr>
        <w:t> </w:t>
      </w:r>
      <w:r>
        <w:rPr>
          <w:w w:val="90"/>
        </w:rPr>
        <w:t>ομολόγου</w:t>
      </w:r>
      <w:r>
        <w:rPr>
          <w:spacing w:val="14"/>
        </w:rPr>
        <w:t> </w:t>
      </w:r>
      <w:r>
        <w:rPr>
          <w:spacing w:val="-2"/>
          <w:w w:val="90"/>
        </w:rPr>
        <w:t>υψηλής</w:t>
      </w:r>
    </w:p>
    <w:p>
      <w:pPr>
        <w:pStyle w:val="BodyText"/>
        <w:ind w:left="566" w:right="1044"/>
      </w:pPr>
      <w:r>
        <w:rPr>
          <w:w w:val="90"/>
        </w:rPr>
        <w:t>εξοφλητικής προτεραιότητας ύψους €600 εκατ. με σταθερό επιτόκιο 3.75%. Σύμφωνα με το Green Bond Framework </w:t>
      </w:r>
      <w:r>
        <w:rPr>
          <w:spacing w:val="-4"/>
        </w:rPr>
        <w:t>της</w:t>
      </w:r>
      <w:r>
        <w:rPr>
          <w:spacing w:val="-12"/>
        </w:rPr>
        <w:t> </w:t>
      </w:r>
      <w:r>
        <w:rPr>
          <w:spacing w:val="-4"/>
        </w:rPr>
        <w:t>Alpha</w:t>
      </w:r>
      <w:r>
        <w:rPr>
          <w:spacing w:val="-13"/>
        </w:rPr>
        <w:t> </w:t>
      </w:r>
      <w:r>
        <w:rPr>
          <w:spacing w:val="-4"/>
        </w:rPr>
        <w:t>Bank,</w:t>
      </w:r>
      <w:r>
        <w:rPr>
          <w:spacing w:val="-13"/>
        </w:rPr>
        <w:t> </w:t>
      </w:r>
      <w:r>
        <w:rPr>
          <w:spacing w:val="-4"/>
        </w:rPr>
        <w:t>τα</w:t>
      </w:r>
      <w:r>
        <w:rPr>
          <w:spacing w:val="-13"/>
        </w:rPr>
        <w:t> </w:t>
      </w:r>
      <w:r>
        <w:rPr>
          <w:spacing w:val="-4"/>
        </w:rPr>
        <w:t>κεφάλαια</w:t>
      </w:r>
      <w:r>
        <w:rPr>
          <w:spacing w:val="-16"/>
        </w:rPr>
        <w:t> </w:t>
      </w:r>
      <w:r>
        <w:rPr>
          <w:spacing w:val="-4"/>
        </w:rPr>
        <w:t>που</w:t>
      </w:r>
      <w:r>
        <w:rPr>
          <w:spacing w:val="-13"/>
        </w:rPr>
        <w:t> </w:t>
      </w:r>
      <w:r>
        <w:rPr>
          <w:spacing w:val="-4"/>
        </w:rPr>
        <w:t>αντλήθηκαν</w:t>
      </w:r>
      <w:r>
        <w:rPr>
          <w:spacing w:val="-14"/>
        </w:rPr>
        <w:t> </w:t>
      </w:r>
      <w:r>
        <w:rPr>
          <w:spacing w:val="-4"/>
        </w:rPr>
        <w:t>θα</w:t>
      </w:r>
      <w:r>
        <w:rPr>
          <w:spacing w:val="-13"/>
        </w:rPr>
        <w:t> </w:t>
      </w:r>
      <w:r>
        <w:rPr>
          <w:spacing w:val="-4"/>
        </w:rPr>
        <w:t>χρησιμοποιηθούν</w:t>
      </w:r>
      <w:r>
        <w:rPr>
          <w:spacing w:val="-14"/>
        </w:rPr>
        <w:t> </w:t>
      </w:r>
      <w:r>
        <w:rPr>
          <w:spacing w:val="-4"/>
        </w:rPr>
        <w:t>για</w:t>
      </w:r>
      <w:r>
        <w:rPr>
          <w:spacing w:val="-13"/>
        </w:rPr>
        <w:t> </w:t>
      </w:r>
      <w:r>
        <w:rPr>
          <w:spacing w:val="-4"/>
        </w:rPr>
        <w:t>τη</w:t>
      </w:r>
      <w:r>
        <w:rPr>
          <w:spacing w:val="-15"/>
        </w:rPr>
        <w:t> </w:t>
      </w:r>
      <w:r>
        <w:rPr>
          <w:spacing w:val="-4"/>
        </w:rPr>
        <w:t>χρηματοδότηση</w:t>
      </w:r>
      <w:r>
        <w:rPr>
          <w:spacing w:val="-13"/>
        </w:rPr>
        <w:t> </w:t>
      </w:r>
      <w:r>
        <w:rPr>
          <w:spacing w:val="-4"/>
        </w:rPr>
        <w:t>επιλέξιμων</w:t>
      </w:r>
      <w:r>
        <w:rPr>
          <w:spacing w:val="-14"/>
        </w:rPr>
        <w:t> </w:t>
      </w:r>
      <w:r>
        <w:rPr>
          <w:spacing w:val="-4"/>
        </w:rPr>
        <w:t>πράσινων</w:t>
      </w:r>
    </w:p>
    <w:p>
      <w:pPr>
        <w:pStyle w:val="BodyText"/>
        <w:spacing w:after="0"/>
        <w:sectPr>
          <w:pgSz w:w="11920" w:h="16850"/>
          <w:pgMar w:header="639" w:footer="648" w:top="1260" w:bottom="840" w:left="283" w:right="425"/>
        </w:sectPr>
      </w:pPr>
    </w:p>
    <w:p>
      <w:pPr>
        <w:pStyle w:val="BodyText"/>
        <w:spacing w:before="157"/>
      </w:pPr>
    </w:p>
    <w:p>
      <w:pPr>
        <w:pStyle w:val="BodyText"/>
        <w:spacing w:before="1"/>
        <w:ind w:left="566"/>
      </w:pPr>
      <w:r>
        <w:rPr>
          <w:spacing w:val="-6"/>
        </w:rPr>
        <w:t>επενδύσεων,</w:t>
      </w:r>
      <w:r>
        <w:rPr>
          <w:spacing w:val="-14"/>
        </w:rPr>
        <w:t> </w:t>
      </w:r>
      <w:r>
        <w:rPr>
          <w:spacing w:val="-6"/>
        </w:rPr>
        <w:t>σύμφωνα</w:t>
      </w:r>
      <w:r>
        <w:rPr>
          <w:spacing w:val="-14"/>
        </w:rPr>
        <w:t> </w:t>
      </w:r>
      <w:r>
        <w:rPr>
          <w:spacing w:val="-6"/>
        </w:rPr>
        <w:t>με</w:t>
      </w:r>
      <w:r>
        <w:rPr>
          <w:spacing w:val="-16"/>
        </w:rPr>
        <w:t> </w:t>
      </w:r>
      <w:r>
        <w:rPr>
          <w:spacing w:val="-6"/>
        </w:rPr>
        <w:t>τη</w:t>
      </w:r>
      <w:r>
        <w:rPr>
          <w:spacing w:val="-15"/>
        </w:rPr>
        <w:t> </w:t>
      </w:r>
      <w:r>
        <w:rPr>
          <w:spacing w:val="-6"/>
        </w:rPr>
        <w:t>στρατηγική</w:t>
      </w:r>
      <w:r>
        <w:rPr>
          <w:spacing w:val="-13"/>
        </w:rPr>
        <w:t> </w:t>
      </w:r>
      <w:r>
        <w:rPr>
          <w:spacing w:val="-6"/>
        </w:rPr>
        <w:t>δέσμευση</w:t>
      </w:r>
      <w:r>
        <w:rPr>
          <w:spacing w:val="-16"/>
        </w:rPr>
        <w:t> </w:t>
      </w:r>
      <w:r>
        <w:rPr>
          <w:spacing w:val="-6"/>
        </w:rPr>
        <w:t>της</w:t>
      </w:r>
      <w:r>
        <w:rPr>
          <w:spacing w:val="-15"/>
        </w:rPr>
        <w:t> </w:t>
      </w:r>
      <w:r>
        <w:rPr>
          <w:spacing w:val="-6"/>
        </w:rPr>
        <w:t>Τράπεζας</w:t>
      </w:r>
      <w:r>
        <w:rPr>
          <w:spacing w:val="-12"/>
        </w:rPr>
        <w:t> </w:t>
      </w:r>
      <w:r>
        <w:rPr>
          <w:spacing w:val="-6"/>
        </w:rPr>
        <w:t>για</w:t>
      </w:r>
      <w:r>
        <w:rPr>
          <w:spacing w:val="-13"/>
        </w:rPr>
        <w:t> </w:t>
      </w:r>
      <w:r>
        <w:rPr>
          <w:spacing w:val="-6"/>
        </w:rPr>
        <w:t>την</w:t>
      </w:r>
      <w:r>
        <w:rPr>
          <w:spacing w:val="-14"/>
        </w:rPr>
        <w:t> </w:t>
      </w:r>
      <w:r>
        <w:rPr>
          <w:spacing w:val="-6"/>
        </w:rPr>
        <w:t>προώθηση</w:t>
      </w:r>
      <w:r>
        <w:rPr>
          <w:spacing w:val="-13"/>
        </w:rPr>
        <w:t> </w:t>
      </w:r>
      <w:r>
        <w:rPr>
          <w:spacing w:val="-6"/>
        </w:rPr>
        <w:t>της</w:t>
      </w:r>
      <w:r>
        <w:rPr>
          <w:spacing w:val="-13"/>
        </w:rPr>
        <w:t> </w:t>
      </w:r>
      <w:r>
        <w:rPr>
          <w:spacing w:val="-6"/>
        </w:rPr>
        <w:t>βιώσιμης</w:t>
      </w:r>
      <w:r>
        <w:rPr>
          <w:spacing w:val="-12"/>
        </w:rPr>
        <w:t> </w:t>
      </w:r>
      <w:r>
        <w:rPr>
          <w:spacing w:val="-6"/>
        </w:rPr>
        <w:t>ανάπτυξης</w:t>
      </w:r>
      <w:r>
        <w:rPr>
          <w:spacing w:val="-14"/>
        </w:rPr>
        <w:t> </w:t>
      </w:r>
      <w:r>
        <w:rPr>
          <w:spacing w:val="-6"/>
        </w:rPr>
        <w:t>και</w:t>
      </w:r>
      <w:r>
        <w:rPr>
          <w:spacing w:val="-13"/>
        </w:rPr>
        <w:t> </w:t>
      </w:r>
      <w:r>
        <w:rPr>
          <w:spacing w:val="-6"/>
        </w:rPr>
        <w:t>τη </w:t>
      </w:r>
      <w:r>
        <w:rPr>
          <w:spacing w:val="-2"/>
        </w:rPr>
        <w:t>χρηματοδότηση</w:t>
      </w:r>
      <w:r>
        <w:rPr>
          <w:spacing w:val="-14"/>
        </w:rPr>
        <w:t> </w:t>
      </w:r>
      <w:r>
        <w:rPr>
          <w:spacing w:val="-2"/>
        </w:rPr>
        <w:t>της</w:t>
      </w:r>
      <w:r>
        <w:rPr>
          <w:spacing w:val="-14"/>
        </w:rPr>
        <w:t> </w:t>
      </w:r>
      <w:r>
        <w:rPr>
          <w:spacing w:val="-2"/>
        </w:rPr>
        <w:t>πράσινης</w:t>
      </w:r>
      <w:r>
        <w:rPr>
          <w:spacing w:val="-14"/>
        </w:rPr>
        <w:t> </w:t>
      </w:r>
      <w:r>
        <w:rPr>
          <w:spacing w:val="-2"/>
        </w:rPr>
        <w:t>μετάβασης</w:t>
      </w:r>
      <w:r>
        <w:rPr>
          <w:spacing w:val="-12"/>
        </w:rPr>
        <w:t> </w:t>
      </w:r>
      <w:r>
        <w:rPr>
          <w:spacing w:val="-2"/>
        </w:rPr>
        <w:t>της</w:t>
      </w:r>
      <w:r>
        <w:rPr>
          <w:spacing w:val="-13"/>
        </w:rPr>
        <w:t> </w:t>
      </w:r>
      <w:r>
        <w:rPr>
          <w:spacing w:val="-2"/>
        </w:rPr>
        <w:t>ελληνικής</w:t>
      </w:r>
      <w:r>
        <w:rPr>
          <w:spacing w:val="-14"/>
        </w:rPr>
        <w:t> </w:t>
      </w:r>
      <w:r>
        <w:rPr>
          <w:spacing w:val="-2"/>
        </w:rPr>
        <w:t>οικονομίας.</w:t>
      </w:r>
    </w:p>
    <w:p>
      <w:pPr>
        <w:pStyle w:val="BodyText"/>
        <w:spacing w:before="6"/>
      </w:pPr>
    </w:p>
    <w:p>
      <w:pPr>
        <w:pStyle w:val="BodyText"/>
        <w:ind w:left="566"/>
      </w:pPr>
      <w:r>
        <w:rPr>
          <w:w w:val="90"/>
        </w:rPr>
        <w:t>Η</w:t>
      </w:r>
      <w:r>
        <w:rPr>
          <w:spacing w:val="10"/>
        </w:rPr>
        <w:t> </w:t>
      </w:r>
      <w:r>
        <w:rPr>
          <w:w w:val="90"/>
        </w:rPr>
        <w:t>ισχυρή</w:t>
      </w:r>
      <w:r>
        <w:rPr>
          <w:spacing w:val="12"/>
        </w:rPr>
        <w:t> </w:t>
      </w:r>
      <w:r>
        <w:rPr>
          <w:w w:val="90"/>
        </w:rPr>
        <w:t>ρευστότητα</w:t>
      </w:r>
      <w:r>
        <w:rPr>
          <w:spacing w:val="14"/>
        </w:rPr>
        <w:t> </w:t>
      </w:r>
      <w:r>
        <w:rPr>
          <w:w w:val="90"/>
        </w:rPr>
        <w:t>του</w:t>
      </w:r>
      <w:r>
        <w:rPr>
          <w:spacing w:val="7"/>
        </w:rPr>
        <w:t> </w:t>
      </w:r>
      <w:r>
        <w:rPr>
          <w:w w:val="90"/>
        </w:rPr>
        <w:t>Ομίλου</w:t>
      </w:r>
      <w:r>
        <w:rPr>
          <w:spacing w:val="14"/>
        </w:rPr>
        <w:t> </w:t>
      </w:r>
      <w:r>
        <w:rPr>
          <w:w w:val="90"/>
        </w:rPr>
        <w:t>αντικατοπτρίζεται</w:t>
      </w:r>
      <w:r>
        <w:rPr>
          <w:spacing w:val="12"/>
        </w:rPr>
        <w:t> </w:t>
      </w:r>
      <w:r>
        <w:rPr>
          <w:w w:val="90"/>
        </w:rPr>
        <w:t>στον</w:t>
      </w:r>
      <w:r>
        <w:rPr>
          <w:spacing w:val="8"/>
        </w:rPr>
        <w:t> </w:t>
      </w:r>
      <w:r>
        <w:rPr>
          <w:w w:val="90"/>
        </w:rPr>
        <w:t>Δείκτη</w:t>
      </w:r>
      <w:r>
        <w:rPr>
          <w:spacing w:val="12"/>
        </w:rPr>
        <w:t> </w:t>
      </w:r>
      <w:r>
        <w:rPr>
          <w:w w:val="90"/>
        </w:rPr>
        <w:t>Δανείων</w:t>
      </w:r>
      <w:r>
        <w:rPr>
          <w:spacing w:val="7"/>
        </w:rPr>
        <w:t> </w:t>
      </w:r>
      <w:r>
        <w:rPr>
          <w:w w:val="90"/>
        </w:rPr>
        <w:t>προς</w:t>
      </w:r>
      <w:r>
        <w:rPr>
          <w:spacing w:val="14"/>
        </w:rPr>
        <w:t> </w:t>
      </w:r>
      <w:r>
        <w:rPr>
          <w:w w:val="90"/>
        </w:rPr>
        <w:t>Καταθέσεις,</w:t>
      </w:r>
      <w:r>
        <w:rPr>
          <w:spacing w:val="12"/>
        </w:rPr>
        <w:t> </w:t>
      </w:r>
      <w:r>
        <w:rPr>
          <w:w w:val="90"/>
        </w:rPr>
        <w:t>ο</w:t>
      </w:r>
      <w:r>
        <w:rPr>
          <w:spacing w:val="12"/>
        </w:rPr>
        <w:t> </w:t>
      </w:r>
      <w:r>
        <w:rPr>
          <w:w w:val="90"/>
        </w:rPr>
        <w:t>οποίος</w:t>
      </w:r>
      <w:r>
        <w:rPr>
          <w:spacing w:val="11"/>
        </w:rPr>
        <w:t> </w:t>
      </w:r>
      <w:r>
        <w:rPr>
          <w:w w:val="90"/>
        </w:rPr>
        <w:t>ανήλθε</w:t>
      </w:r>
      <w:r>
        <w:rPr>
          <w:spacing w:val="10"/>
        </w:rPr>
        <w:t> </w:t>
      </w:r>
      <w:r>
        <w:rPr>
          <w:w w:val="90"/>
        </w:rPr>
        <w:t>σε</w:t>
      </w:r>
      <w:r>
        <w:rPr>
          <w:spacing w:val="17"/>
        </w:rPr>
        <w:t> </w:t>
      </w:r>
      <w:r>
        <w:rPr>
          <w:spacing w:val="-4"/>
          <w:w w:val="90"/>
        </w:rPr>
        <w:t>78%.</w:t>
      </w:r>
    </w:p>
    <w:p>
      <w:pPr>
        <w:pStyle w:val="BodyText"/>
        <w:spacing w:line="244" w:lineRule="auto" w:before="4"/>
        <w:ind w:left="566"/>
      </w:pPr>
      <w:r>
        <w:rPr>
          <w:w w:val="90"/>
        </w:rPr>
        <w:t>Επιπλέον, ο δείκτης Κάλυψης Ρευστότητας (LCR) διαμορφώθηκε σε 197% έναντι 176% το προηγούμενο τρίμηνο, ποσοστό</w:t>
      </w:r>
      <w:r>
        <w:rPr>
          <w:spacing w:val="40"/>
        </w:rPr>
        <w:t> </w:t>
      </w:r>
      <w:r>
        <w:rPr>
          <w:spacing w:val="-4"/>
        </w:rPr>
        <w:t>σημαντικά</w:t>
      </w:r>
      <w:r>
        <w:rPr>
          <w:spacing w:val="-7"/>
        </w:rPr>
        <w:t> </w:t>
      </w:r>
      <w:r>
        <w:rPr>
          <w:spacing w:val="-4"/>
        </w:rPr>
        <w:t>υψηλότερο</w:t>
      </w:r>
      <w:r>
        <w:rPr>
          <w:spacing w:val="-10"/>
        </w:rPr>
        <w:t> </w:t>
      </w:r>
      <w:r>
        <w:rPr>
          <w:spacing w:val="-4"/>
        </w:rPr>
        <w:t>σε</w:t>
      </w:r>
      <w:r>
        <w:rPr>
          <w:spacing w:val="-9"/>
        </w:rPr>
        <w:t> </w:t>
      </w:r>
      <w:r>
        <w:rPr>
          <w:spacing w:val="-4"/>
        </w:rPr>
        <w:t>σχέση</w:t>
      </w:r>
      <w:r>
        <w:rPr>
          <w:spacing w:val="-9"/>
        </w:rPr>
        <w:t> </w:t>
      </w:r>
      <w:r>
        <w:rPr>
          <w:spacing w:val="-4"/>
        </w:rPr>
        <w:t>με</w:t>
      </w:r>
      <w:r>
        <w:rPr>
          <w:spacing w:val="-9"/>
        </w:rPr>
        <w:t> </w:t>
      </w:r>
      <w:r>
        <w:rPr>
          <w:spacing w:val="-4"/>
        </w:rPr>
        <w:t>το</w:t>
      </w:r>
      <w:r>
        <w:rPr>
          <w:spacing w:val="-7"/>
        </w:rPr>
        <w:t> </w:t>
      </w:r>
      <w:r>
        <w:rPr>
          <w:spacing w:val="-4"/>
        </w:rPr>
        <w:t>εποπτικό</w:t>
      </w:r>
      <w:r>
        <w:rPr>
          <w:spacing w:val="-8"/>
        </w:rPr>
        <w:t> </w:t>
      </w:r>
      <w:r>
        <w:rPr>
          <w:spacing w:val="-4"/>
        </w:rPr>
        <w:t>όριο</w:t>
      </w:r>
      <w:r>
        <w:rPr>
          <w:spacing w:val="-8"/>
        </w:rPr>
        <w:t> </w:t>
      </w:r>
      <w:r>
        <w:rPr>
          <w:spacing w:val="-4"/>
        </w:rPr>
        <w:t>και</w:t>
      </w:r>
      <w:r>
        <w:rPr>
          <w:spacing w:val="-8"/>
        </w:rPr>
        <w:t> </w:t>
      </w:r>
      <w:r>
        <w:rPr>
          <w:spacing w:val="-4"/>
        </w:rPr>
        <w:t>τους</w:t>
      </w:r>
      <w:r>
        <w:rPr>
          <w:spacing w:val="-8"/>
        </w:rPr>
        <w:t> </w:t>
      </w:r>
      <w:r>
        <w:rPr>
          <w:spacing w:val="-4"/>
        </w:rPr>
        <w:t>στόχους</w:t>
      </w:r>
      <w:r>
        <w:rPr>
          <w:spacing w:val="-7"/>
        </w:rPr>
        <w:t> </w:t>
      </w:r>
      <w:r>
        <w:rPr>
          <w:spacing w:val="-4"/>
        </w:rPr>
        <w:t>της</w:t>
      </w:r>
      <w:r>
        <w:rPr>
          <w:spacing w:val="-7"/>
        </w:rPr>
        <w:t> </w:t>
      </w:r>
      <w:r>
        <w:rPr>
          <w:spacing w:val="-4"/>
        </w:rPr>
        <w:t>Διοίκησης.</w:t>
      </w:r>
    </w:p>
    <w:p>
      <w:pPr>
        <w:pStyle w:val="BodyText"/>
      </w:pPr>
    </w:p>
    <w:p>
      <w:pPr>
        <w:pStyle w:val="BodyText"/>
        <w:spacing w:before="123"/>
      </w:pPr>
    </w:p>
    <w:p>
      <w:pPr>
        <w:pStyle w:val="Heading1"/>
        <w:spacing w:before="1"/>
      </w:pPr>
      <w:r>
        <w:rPr>
          <w:color w:val="5B92C9"/>
          <w:spacing w:val="-4"/>
        </w:rPr>
        <w:t>Ποιότητα</w:t>
      </w:r>
      <w:r>
        <w:rPr>
          <w:color w:val="5B92C9"/>
          <w:spacing w:val="-10"/>
        </w:rPr>
        <w:t> </w:t>
      </w:r>
      <w:r>
        <w:rPr>
          <w:color w:val="5B92C9"/>
          <w:spacing w:val="-4"/>
        </w:rPr>
        <w:t>Δανειακού</w:t>
      </w:r>
      <w:r>
        <w:rPr>
          <w:color w:val="5B92C9"/>
          <w:spacing w:val="-9"/>
        </w:rPr>
        <w:t> </w:t>
      </w:r>
      <w:r>
        <w:rPr>
          <w:color w:val="5B92C9"/>
          <w:spacing w:val="-4"/>
        </w:rPr>
        <w:t>Χαρτοφυλακίου</w:t>
      </w:r>
    </w:p>
    <w:p>
      <w:pPr>
        <w:spacing w:line="244" w:lineRule="auto" w:before="235"/>
        <w:ind w:left="600" w:right="0" w:firstLine="0"/>
        <w:jc w:val="left"/>
        <w:rPr>
          <w:sz w:val="20"/>
        </w:rPr>
      </w:pPr>
      <w:r>
        <w:rPr>
          <w:color w:val="E2882D"/>
          <w:spacing w:val="-8"/>
          <w:sz w:val="20"/>
        </w:rPr>
        <w:t>Ο Δείκτης Μη Εξυπηρετούμενων Ανοιγμάτων του</w:t>
      </w:r>
      <w:r>
        <w:rPr>
          <w:color w:val="E2882D"/>
          <w:spacing w:val="-9"/>
          <w:sz w:val="20"/>
        </w:rPr>
        <w:t> </w:t>
      </w:r>
      <w:r>
        <w:rPr>
          <w:color w:val="E2882D"/>
          <w:spacing w:val="-8"/>
          <w:sz w:val="20"/>
        </w:rPr>
        <w:t>Ομίλου διαμορφώθηκε σε 3,6% ενώ το Κόστος πιστωτικού </w:t>
      </w:r>
      <w:r>
        <w:rPr>
          <w:color w:val="E2882D"/>
          <w:sz w:val="20"/>
        </w:rPr>
        <w:t>Κινδύνου</w:t>
      </w:r>
      <w:r>
        <w:rPr>
          <w:color w:val="E2882D"/>
          <w:spacing w:val="-15"/>
          <w:sz w:val="20"/>
        </w:rPr>
        <w:t> </w:t>
      </w:r>
      <w:r>
        <w:rPr>
          <w:color w:val="E2882D"/>
          <w:sz w:val="20"/>
        </w:rPr>
        <w:t>σε</w:t>
      </w:r>
      <w:r>
        <w:rPr>
          <w:color w:val="E2882D"/>
          <w:spacing w:val="-12"/>
          <w:sz w:val="20"/>
        </w:rPr>
        <w:t> </w:t>
      </w:r>
      <w:r>
        <w:rPr>
          <w:color w:val="E2882D"/>
          <w:sz w:val="20"/>
        </w:rPr>
        <w:t>39</w:t>
      </w:r>
      <w:r>
        <w:rPr>
          <w:color w:val="E2882D"/>
          <w:spacing w:val="-15"/>
          <w:sz w:val="20"/>
        </w:rPr>
        <w:t> </w:t>
      </w:r>
      <w:r>
        <w:rPr>
          <w:color w:val="E2882D"/>
          <w:sz w:val="20"/>
        </w:rPr>
        <w:t>μονάδες</w:t>
      </w:r>
      <w:r>
        <w:rPr>
          <w:color w:val="E2882D"/>
          <w:spacing w:val="-13"/>
          <w:sz w:val="20"/>
        </w:rPr>
        <w:t> </w:t>
      </w:r>
      <w:r>
        <w:rPr>
          <w:color w:val="E2882D"/>
          <w:sz w:val="20"/>
        </w:rPr>
        <w:t>βάσης</w:t>
      </w:r>
    </w:p>
    <w:p>
      <w:pPr>
        <w:spacing w:before="112"/>
        <w:ind w:left="566" w:right="749" w:firstLine="0"/>
        <w:jc w:val="left"/>
        <w:rPr>
          <w:sz w:val="18"/>
        </w:rPr>
      </w:pPr>
      <w:r>
        <w:rPr>
          <w:spacing w:val="-6"/>
          <w:sz w:val="18"/>
        </w:rPr>
        <w:t>Τα</w:t>
      </w:r>
      <w:r>
        <w:rPr>
          <w:spacing w:val="-9"/>
          <w:sz w:val="18"/>
        </w:rPr>
        <w:t> </w:t>
      </w:r>
      <w:r>
        <w:rPr>
          <w:rFonts w:ascii="Tahoma" w:hAnsi="Tahoma"/>
          <w:b/>
          <w:spacing w:val="-6"/>
          <w:sz w:val="18"/>
        </w:rPr>
        <w:t>Μη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6"/>
          <w:sz w:val="18"/>
        </w:rPr>
        <w:t>Εξυπηρετούμενα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6"/>
          <w:sz w:val="18"/>
        </w:rPr>
        <w:t>Ανοίγματα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6"/>
          <w:sz w:val="18"/>
        </w:rPr>
        <w:t>στην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6"/>
          <w:sz w:val="18"/>
        </w:rPr>
        <w:t>Ελλάδα</w:t>
      </w:r>
      <w:r>
        <w:rPr>
          <w:rFonts w:ascii="Tahoma" w:hAnsi="Tahoma"/>
          <w:b/>
          <w:sz w:val="18"/>
        </w:rPr>
        <w:t> </w:t>
      </w:r>
      <w:r>
        <w:rPr>
          <w:spacing w:val="-6"/>
          <w:sz w:val="18"/>
        </w:rPr>
        <w:t>παρέμειναν</w:t>
      </w:r>
      <w:r>
        <w:rPr>
          <w:spacing w:val="-10"/>
          <w:sz w:val="18"/>
        </w:rPr>
        <w:t> </w:t>
      </w:r>
      <w:r>
        <w:rPr>
          <w:spacing w:val="-6"/>
          <w:sz w:val="18"/>
        </w:rPr>
        <w:t>σχεδόν</w:t>
      </w:r>
      <w:r>
        <w:rPr>
          <w:spacing w:val="-10"/>
          <w:sz w:val="18"/>
        </w:rPr>
        <w:t> </w:t>
      </w:r>
      <w:r>
        <w:rPr>
          <w:spacing w:val="-6"/>
          <w:sz w:val="18"/>
        </w:rPr>
        <w:t>αμετάβλητα</w:t>
      </w:r>
      <w:r>
        <w:rPr>
          <w:spacing w:val="-9"/>
          <w:sz w:val="18"/>
        </w:rPr>
        <w:t> </w:t>
      </w:r>
      <w:r>
        <w:rPr>
          <w:spacing w:val="-6"/>
          <w:sz w:val="18"/>
        </w:rPr>
        <w:t>σε</w:t>
      </w:r>
      <w:r>
        <w:rPr>
          <w:spacing w:val="-8"/>
          <w:sz w:val="18"/>
        </w:rPr>
        <w:t> </w:t>
      </w:r>
      <w:r>
        <w:rPr>
          <w:spacing w:val="-6"/>
          <w:sz w:val="18"/>
        </w:rPr>
        <w:t>€1,5</w:t>
      </w:r>
      <w:r>
        <w:rPr>
          <w:spacing w:val="-9"/>
          <w:sz w:val="18"/>
        </w:rPr>
        <w:t> </w:t>
      </w:r>
      <w:r>
        <w:rPr>
          <w:spacing w:val="-6"/>
          <w:sz w:val="18"/>
        </w:rPr>
        <w:t>δισ.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το</w:t>
      </w:r>
      <w:r>
        <w:rPr>
          <w:spacing w:val="-9"/>
          <w:sz w:val="18"/>
        </w:rPr>
        <w:t> </w:t>
      </w:r>
      <w:r>
        <w:rPr>
          <w:spacing w:val="-6"/>
          <w:sz w:val="18"/>
        </w:rPr>
        <w:t>β’</w:t>
      </w:r>
      <w:r>
        <w:rPr>
          <w:spacing w:val="-9"/>
          <w:sz w:val="18"/>
        </w:rPr>
        <w:t> </w:t>
      </w:r>
      <w:r>
        <w:rPr>
          <w:spacing w:val="-6"/>
          <w:sz w:val="18"/>
        </w:rPr>
        <w:t>τρίμηνο</w:t>
      </w:r>
      <w:r>
        <w:rPr>
          <w:spacing w:val="-9"/>
          <w:sz w:val="18"/>
        </w:rPr>
        <w:t> </w:t>
      </w:r>
      <w:r>
        <w:rPr>
          <w:spacing w:val="-6"/>
          <w:sz w:val="18"/>
        </w:rPr>
        <w:t>(+€9 εκατ.), καθώς τα χαμηλότερα επίπεδα εισροών αντισταθμίστηκαν από την ομαλή αποπληρωμή των ρυθμίσεων </w:t>
      </w:r>
      <w:r>
        <w:rPr>
          <w:spacing w:val="-4"/>
          <w:sz w:val="18"/>
        </w:rPr>
        <w:t>(curings),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τις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αποπληρωμές</w:t>
      </w:r>
      <w:r>
        <w:rPr>
          <w:spacing w:val="-15"/>
          <w:sz w:val="18"/>
        </w:rPr>
        <w:t> </w:t>
      </w:r>
      <w:r>
        <w:rPr>
          <w:spacing w:val="-4"/>
          <w:sz w:val="18"/>
        </w:rPr>
        <w:t>των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δανείων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καθως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και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τις</w:t>
      </w:r>
      <w:r>
        <w:rPr>
          <w:spacing w:val="-15"/>
          <w:sz w:val="18"/>
        </w:rPr>
        <w:t> </w:t>
      </w:r>
      <w:r>
        <w:rPr>
          <w:spacing w:val="-4"/>
          <w:sz w:val="18"/>
        </w:rPr>
        <w:t>οριστικές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διευθετήσεις</w:t>
      </w:r>
      <w:r>
        <w:rPr>
          <w:spacing w:val="-15"/>
          <w:sz w:val="18"/>
        </w:rPr>
        <w:t> </w:t>
      </w:r>
      <w:r>
        <w:rPr>
          <w:spacing w:val="-4"/>
          <w:sz w:val="18"/>
        </w:rPr>
        <w:t>των</w:t>
      </w:r>
      <w:r>
        <w:rPr>
          <w:spacing w:val="-14"/>
          <w:sz w:val="18"/>
        </w:rPr>
        <w:t> </w:t>
      </w:r>
      <w:r>
        <w:rPr>
          <w:spacing w:val="-4"/>
          <w:sz w:val="18"/>
        </w:rPr>
        <w:t>οφειλών.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Ως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αποτέλεσμα,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ο </w:t>
      </w:r>
      <w:r>
        <w:rPr>
          <w:rFonts w:ascii="Tahoma" w:hAnsi="Tahoma"/>
          <w:b/>
          <w:spacing w:val="-2"/>
          <w:sz w:val="18"/>
        </w:rPr>
        <w:t>Δείκτης</w:t>
      </w:r>
      <w:r>
        <w:rPr>
          <w:rFonts w:ascii="Tahoma" w:hAnsi="Tahoma"/>
          <w:b/>
          <w:spacing w:val="-12"/>
          <w:sz w:val="18"/>
        </w:rPr>
        <w:t> </w:t>
      </w:r>
      <w:r>
        <w:rPr>
          <w:rFonts w:ascii="Tahoma" w:hAnsi="Tahoma"/>
          <w:b/>
          <w:spacing w:val="-2"/>
          <w:sz w:val="18"/>
        </w:rPr>
        <w:t>Μη</w:t>
      </w:r>
      <w:r>
        <w:rPr>
          <w:rFonts w:ascii="Tahoma" w:hAnsi="Tahoma"/>
          <w:b/>
          <w:spacing w:val="-11"/>
          <w:sz w:val="18"/>
        </w:rPr>
        <w:t> </w:t>
      </w:r>
      <w:r>
        <w:rPr>
          <w:rFonts w:ascii="Tahoma" w:hAnsi="Tahoma"/>
          <w:b/>
          <w:spacing w:val="-2"/>
          <w:sz w:val="18"/>
        </w:rPr>
        <w:t>Εξυπηρετούμενων</w:t>
      </w:r>
      <w:r>
        <w:rPr>
          <w:rFonts w:ascii="Tahoma" w:hAnsi="Tahoma"/>
          <w:b/>
          <w:spacing w:val="-11"/>
          <w:sz w:val="18"/>
        </w:rPr>
        <w:t> </w:t>
      </w:r>
      <w:r>
        <w:rPr>
          <w:rFonts w:ascii="Tahoma" w:hAnsi="Tahoma"/>
          <w:b/>
          <w:spacing w:val="-2"/>
          <w:sz w:val="18"/>
        </w:rPr>
        <w:t>Ανοιγμάτων</w:t>
      </w:r>
      <w:r>
        <w:rPr>
          <w:rFonts w:ascii="Tahoma" w:hAnsi="Tahoma"/>
          <w:b/>
          <w:spacing w:val="-11"/>
          <w:sz w:val="18"/>
        </w:rPr>
        <w:t> </w:t>
      </w:r>
      <w:r>
        <w:rPr>
          <w:spacing w:val="-2"/>
          <w:sz w:val="18"/>
        </w:rPr>
        <w:t>στην</w:t>
      </w:r>
      <w:r>
        <w:rPr>
          <w:spacing w:val="-14"/>
          <w:sz w:val="18"/>
        </w:rPr>
        <w:t> </w:t>
      </w:r>
      <w:r>
        <w:rPr>
          <w:spacing w:val="-2"/>
          <w:sz w:val="18"/>
        </w:rPr>
        <w:t>Ελλάδα</w:t>
      </w:r>
      <w:r>
        <w:rPr>
          <w:spacing w:val="-14"/>
          <w:sz w:val="18"/>
        </w:rPr>
        <w:t> </w:t>
      </w:r>
      <w:r>
        <w:rPr>
          <w:spacing w:val="-2"/>
          <w:sz w:val="18"/>
        </w:rPr>
        <w:t>διαμορφώθηκε</w:t>
      </w:r>
      <w:r>
        <w:rPr>
          <w:spacing w:val="-14"/>
          <w:sz w:val="18"/>
        </w:rPr>
        <w:t> </w:t>
      </w:r>
      <w:r>
        <w:rPr>
          <w:spacing w:val="-2"/>
          <w:sz w:val="18"/>
        </w:rPr>
        <w:t>στο</w:t>
      </w:r>
      <w:r>
        <w:rPr>
          <w:spacing w:val="-14"/>
          <w:sz w:val="18"/>
        </w:rPr>
        <w:t> </w:t>
      </w:r>
      <w:r>
        <w:rPr>
          <w:spacing w:val="-2"/>
          <w:sz w:val="18"/>
        </w:rPr>
        <w:t>3,5%.</w:t>
      </w:r>
    </w:p>
    <w:p>
      <w:pPr>
        <w:pStyle w:val="BodyText"/>
        <w:spacing w:before="115"/>
        <w:ind w:left="566"/>
      </w:pPr>
      <w:r>
        <w:rPr>
          <w:spacing w:val="-6"/>
        </w:rPr>
        <w:t>Σε</w:t>
      </w:r>
      <w:r>
        <w:rPr>
          <w:spacing w:val="-9"/>
        </w:rPr>
        <w:t> </w:t>
      </w:r>
      <w:r>
        <w:rPr>
          <w:spacing w:val="-6"/>
        </w:rPr>
        <w:t>επίπεδο</w:t>
      </w:r>
      <w:r>
        <w:rPr>
          <w:spacing w:val="-8"/>
        </w:rPr>
        <w:t> </w:t>
      </w:r>
      <w:r>
        <w:rPr>
          <w:spacing w:val="-6"/>
        </w:rPr>
        <w:t>Ομίλου,</w:t>
      </w:r>
      <w:r>
        <w:rPr>
          <w:spacing w:val="-11"/>
        </w:rPr>
        <w:t> </w:t>
      </w:r>
      <w:r>
        <w:rPr>
          <w:spacing w:val="-6"/>
        </w:rPr>
        <w:t>ο</w:t>
      </w:r>
      <w:r>
        <w:rPr>
          <w:spacing w:val="-8"/>
        </w:rPr>
        <w:t> </w:t>
      </w:r>
      <w:r>
        <w:rPr>
          <w:spacing w:val="-6"/>
        </w:rPr>
        <w:t>Δείκτης</w:t>
      </w:r>
      <w:r>
        <w:rPr>
          <w:spacing w:val="-8"/>
        </w:rPr>
        <w:t> </w:t>
      </w:r>
      <w:r>
        <w:rPr>
          <w:spacing w:val="-6"/>
        </w:rPr>
        <w:t>ΜΕΑ</w:t>
      </w:r>
      <w:r>
        <w:rPr>
          <w:spacing w:val="-8"/>
        </w:rPr>
        <w:t> </w:t>
      </w:r>
      <w:r>
        <w:rPr>
          <w:spacing w:val="-6"/>
        </w:rPr>
        <w:t>ανήλθε</w:t>
      </w:r>
      <w:r>
        <w:rPr>
          <w:spacing w:val="-9"/>
        </w:rPr>
        <w:t> </w:t>
      </w:r>
      <w:r>
        <w:rPr>
          <w:spacing w:val="-6"/>
        </w:rPr>
        <w:t>επίσης</w:t>
      </w:r>
      <w:r>
        <w:rPr>
          <w:spacing w:val="-7"/>
        </w:rPr>
        <w:t> </w:t>
      </w:r>
      <w:r>
        <w:rPr>
          <w:spacing w:val="-6"/>
        </w:rPr>
        <w:t>σε</w:t>
      </w:r>
      <w:r>
        <w:rPr>
          <w:spacing w:val="-12"/>
        </w:rPr>
        <w:t> </w:t>
      </w:r>
      <w:r>
        <w:rPr>
          <w:spacing w:val="-6"/>
        </w:rPr>
        <w:t>3,6%.</w:t>
      </w:r>
    </w:p>
    <w:p>
      <w:pPr>
        <w:pStyle w:val="BodyText"/>
        <w:spacing w:before="165"/>
        <w:rPr>
          <w:sz w:val="20"/>
        </w:rPr>
      </w:pPr>
    </w:p>
    <w:tbl>
      <w:tblPr>
        <w:tblW w:w="0" w:type="auto"/>
        <w:jc w:val="left"/>
        <w:tblInd w:w="569" w:type="dxa"/>
        <w:tblBorders>
          <w:top w:val="single" w:sz="4" w:space="0" w:color="4374B8"/>
          <w:left w:val="single" w:sz="4" w:space="0" w:color="4374B8"/>
          <w:bottom w:val="single" w:sz="4" w:space="0" w:color="4374B8"/>
          <w:right w:val="single" w:sz="4" w:space="0" w:color="4374B8"/>
          <w:insideH w:val="single" w:sz="4" w:space="0" w:color="4374B8"/>
          <w:insideV w:val="single" w:sz="4" w:space="0" w:color="4374B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0"/>
        <w:gridCol w:w="312"/>
        <w:gridCol w:w="4820"/>
      </w:tblGrid>
      <w:tr>
        <w:trPr>
          <w:trHeight w:val="217" w:hRule="atLeast"/>
        </w:trPr>
        <w:tc>
          <w:tcPr>
            <w:tcW w:w="48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89" w:lineRule="exact"/>
              <w:ind w:left="112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Καθαρές</w:t>
            </w:r>
            <w:r>
              <w:rPr>
                <w:rFonts w:ascii="Tahoma" w:hAnsi="Tahoma"/>
                <w:b/>
                <w:spacing w:val="-12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Ροές</w:t>
            </w:r>
            <w:r>
              <w:rPr>
                <w:rFonts w:ascii="Tahoma" w:hAnsi="Tahoma"/>
                <w:b/>
                <w:spacing w:val="-10"/>
                <w:sz w:val="18"/>
              </w:rPr>
              <w:t> </w:t>
            </w:r>
            <w:r>
              <w:rPr>
                <w:rFonts w:ascii="Tahoma" w:hAnsi="Tahoma"/>
                <w:b/>
                <w:spacing w:val="-5"/>
                <w:sz w:val="18"/>
              </w:rPr>
              <w:t>ΜΕΑ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89" w:lineRule="exact"/>
              <w:ind w:left="115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4"/>
                <w:sz w:val="18"/>
              </w:rPr>
              <w:t>Εξέλιξη</w:t>
            </w:r>
            <w:r>
              <w:rPr>
                <w:rFonts w:ascii="Tahoma" w:hAnsi="Tahoma"/>
                <w:b/>
                <w:spacing w:val="-3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Κόστους</w:t>
            </w:r>
            <w:r>
              <w:rPr>
                <w:rFonts w:ascii="Tahoma" w:hAnsi="Tahoma"/>
                <w:b/>
                <w:spacing w:val="-1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Πιστωτικού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Κινδύνου</w:t>
            </w:r>
          </w:p>
        </w:tc>
      </w:tr>
      <w:tr>
        <w:trPr>
          <w:trHeight w:val="2524" w:hRule="atLeast"/>
        </w:trPr>
        <w:tc>
          <w:tcPr>
            <w:tcW w:w="4820" w:type="dxa"/>
            <w:vMerge w:val="restart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70"/>
              <w:rPr>
                <w:sz w:val="10"/>
              </w:rPr>
            </w:pPr>
          </w:p>
          <w:p>
            <w:pPr>
              <w:pStyle w:val="TableParagraph"/>
              <w:ind w:left="63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color w:val="11366B"/>
                <w:w w:val="90"/>
                <w:sz w:val="10"/>
              </w:rPr>
              <w:t>Καθαρές</w:t>
            </w:r>
            <w:r>
              <w:rPr>
                <w:rFonts w:ascii="Arial" w:hAnsi="Arial"/>
                <w:b/>
                <w:color w:val="11366B"/>
                <w:spacing w:val="5"/>
                <w:sz w:val="10"/>
              </w:rPr>
              <w:t> </w:t>
            </w:r>
            <w:r>
              <w:rPr>
                <w:rFonts w:ascii="Arial" w:hAnsi="Arial"/>
                <w:b/>
                <w:color w:val="11366B"/>
                <w:w w:val="90"/>
                <w:sz w:val="10"/>
              </w:rPr>
              <w:t>ροές</w:t>
            </w:r>
            <w:r>
              <w:rPr>
                <w:rFonts w:ascii="Arial" w:hAnsi="Arial"/>
                <w:b/>
                <w:color w:val="11366B"/>
                <w:spacing w:val="9"/>
                <w:sz w:val="10"/>
              </w:rPr>
              <w:t> </w:t>
            </w:r>
            <w:r>
              <w:rPr>
                <w:rFonts w:ascii="Arial" w:hAnsi="Arial"/>
                <w:b/>
                <w:color w:val="11366B"/>
                <w:spacing w:val="-5"/>
                <w:w w:val="90"/>
                <w:sz w:val="10"/>
              </w:rPr>
              <w:t>ΜΕΑ</w:t>
            </w:r>
          </w:p>
          <w:p>
            <w:pPr>
              <w:pStyle w:val="TableParagraph"/>
              <w:spacing w:line="117" w:lineRule="exact" w:before="9"/>
              <w:ind w:left="96"/>
              <w:rPr>
                <w:sz w:val="11"/>
              </w:rPr>
            </w:pPr>
            <w:r>
              <w:rPr>
                <w:color w:val="8E8E8E"/>
                <w:w w:val="80"/>
                <w:sz w:val="11"/>
              </w:rPr>
              <w:t>Ελλάδα,</w:t>
            </w:r>
            <w:r>
              <w:rPr>
                <w:color w:val="8E8E8E"/>
                <w:spacing w:val="-7"/>
                <w:sz w:val="11"/>
              </w:rPr>
              <w:t> </w:t>
            </w:r>
            <w:r>
              <w:rPr>
                <w:color w:val="8E8E8E"/>
                <w:w w:val="80"/>
                <w:sz w:val="11"/>
              </w:rPr>
              <w:t>€</w:t>
            </w:r>
            <w:r>
              <w:rPr>
                <w:color w:val="8E8E8E"/>
                <w:spacing w:val="-6"/>
                <w:sz w:val="11"/>
              </w:rPr>
              <w:t> </w:t>
            </w:r>
            <w:r>
              <w:rPr>
                <w:color w:val="8E8E8E"/>
                <w:spacing w:val="-4"/>
                <w:w w:val="80"/>
                <w:sz w:val="11"/>
              </w:rPr>
              <w:t>δισ.</w:t>
            </w:r>
          </w:p>
          <w:p>
            <w:pPr>
              <w:pStyle w:val="TableParagraph"/>
              <w:tabs>
                <w:tab w:pos="1438" w:val="left" w:leader="none"/>
                <w:tab w:pos="2037" w:val="left" w:leader="none"/>
                <w:tab w:pos="2658" w:val="left" w:leader="none"/>
                <w:tab w:pos="3239" w:val="left" w:leader="none"/>
              </w:tabs>
              <w:spacing w:line="97" w:lineRule="exact"/>
              <w:ind w:left="828"/>
              <w:rPr>
                <w:rFonts w:ascii="Georgia"/>
                <w:b/>
                <w:sz w:val="10"/>
              </w:rPr>
            </w:pPr>
            <w:r>
              <w:rPr>
                <w:rFonts w:ascii="Georgia"/>
                <w:b/>
                <w:sz w:val="1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2672">
                      <wp:simplePos x="0" y="0"/>
                      <wp:positionH relativeFrom="column">
                        <wp:posOffset>378381</wp:posOffset>
                      </wp:positionH>
                      <wp:positionV relativeFrom="paragraph">
                        <wp:posOffset>204876</wp:posOffset>
                      </wp:positionV>
                      <wp:extent cx="1919605" cy="1805939"/>
                      <wp:effectExtent l="0" t="0" r="0" b="0"/>
                      <wp:wrapNone/>
                      <wp:docPr id="193" name="Group 1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3" name="Group 193"/>
                            <wpg:cNvGrpSpPr/>
                            <wpg:grpSpPr>
                              <a:xfrm>
                                <a:off x="0" y="0"/>
                                <a:ext cx="1919605" cy="1805939"/>
                                <a:chExt cx="1919605" cy="1805939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85194" y="7"/>
                                  <a:ext cx="1748789" cy="1066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8789" h="1066800">
                                      <a:moveTo>
                                        <a:pt x="213309" y="3441"/>
                                      </a:moveTo>
                                      <a:lnTo>
                                        <a:pt x="0" y="3441"/>
                                      </a:lnTo>
                                      <a:lnTo>
                                        <a:pt x="0" y="1066736"/>
                                      </a:lnTo>
                                      <a:lnTo>
                                        <a:pt x="213309" y="1066736"/>
                                      </a:lnTo>
                                      <a:lnTo>
                                        <a:pt x="213309" y="3441"/>
                                      </a:lnTo>
                                      <a:close/>
                                    </a:path>
                                    <a:path w="1748789" h="1066800">
                                      <a:moveTo>
                                        <a:pt x="597001" y="103225"/>
                                      </a:moveTo>
                                      <a:lnTo>
                                        <a:pt x="383705" y="103225"/>
                                      </a:lnTo>
                                      <a:lnTo>
                                        <a:pt x="383705" y="1066736"/>
                                      </a:lnTo>
                                      <a:lnTo>
                                        <a:pt x="597001" y="1066736"/>
                                      </a:lnTo>
                                      <a:lnTo>
                                        <a:pt x="597001" y="103225"/>
                                      </a:lnTo>
                                      <a:close/>
                                    </a:path>
                                    <a:path w="1748789" h="1066800">
                                      <a:moveTo>
                                        <a:pt x="980681" y="171361"/>
                                      </a:moveTo>
                                      <a:lnTo>
                                        <a:pt x="767994" y="171361"/>
                                      </a:lnTo>
                                      <a:lnTo>
                                        <a:pt x="767994" y="1066736"/>
                                      </a:lnTo>
                                      <a:lnTo>
                                        <a:pt x="980681" y="1066736"/>
                                      </a:lnTo>
                                      <a:lnTo>
                                        <a:pt x="980681" y="171361"/>
                                      </a:lnTo>
                                      <a:close/>
                                    </a:path>
                                    <a:path w="1748789" h="1066800">
                                      <a:moveTo>
                                        <a:pt x="1364919" y="0"/>
                                      </a:moveTo>
                                      <a:lnTo>
                                        <a:pt x="1151674" y="0"/>
                                      </a:lnTo>
                                      <a:lnTo>
                                        <a:pt x="1151674" y="1066736"/>
                                      </a:lnTo>
                                      <a:lnTo>
                                        <a:pt x="1364919" y="1066736"/>
                                      </a:lnTo>
                                      <a:lnTo>
                                        <a:pt x="1364919" y="0"/>
                                      </a:lnTo>
                                      <a:close/>
                                    </a:path>
                                    <a:path w="1748789" h="1066800">
                                      <a:moveTo>
                                        <a:pt x="1748650" y="276656"/>
                                      </a:moveTo>
                                      <a:lnTo>
                                        <a:pt x="1535366" y="276656"/>
                                      </a:lnTo>
                                      <a:lnTo>
                                        <a:pt x="1535366" y="1066736"/>
                                      </a:lnTo>
                                      <a:lnTo>
                                        <a:pt x="1748650" y="1066736"/>
                                      </a:lnTo>
                                      <a:lnTo>
                                        <a:pt x="1748650" y="2766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F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85194" y="1066744"/>
                                  <a:ext cx="1748789" cy="605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8789" h="605790">
                                      <a:moveTo>
                                        <a:pt x="2133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5045"/>
                                      </a:lnTo>
                                      <a:lnTo>
                                        <a:pt x="213309" y="545045"/>
                                      </a:lnTo>
                                      <a:lnTo>
                                        <a:pt x="213309" y="0"/>
                                      </a:lnTo>
                                      <a:close/>
                                    </a:path>
                                    <a:path w="1748789" h="605790">
                                      <a:moveTo>
                                        <a:pt x="597001" y="0"/>
                                      </a:moveTo>
                                      <a:lnTo>
                                        <a:pt x="383705" y="0"/>
                                      </a:lnTo>
                                      <a:lnTo>
                                        <a:pt x="383705" y="473468"/>
                                      </a:lnTo>
                                      <a:lnTo>
                                        <a:pt x="597001" y="473468"/>
                                      </a:lnTo>
                                      <a:lnTo>
                                        <a:pt x="597001" y="0"/>
                                      </a:lnTo>
                                      <a:close/>
                                    </a:path>
                                    <a:path w="1748789" h="605790">
                                      <a:moveTo>
                                        <a:pt x="980681" y="0"/>
                                      </a:moveTo>
                                      <a:lnTo>
                                        <a:pt x="767994" y="0"/>
                                      </a:lnTo>
                                      <a:lnTo>
                                        <a:pt x="767994" y="576707"/>
                                      </a:lnTo>
                                      <a:lnTo>
                                        <a:pt x="980681" y="576707"/>
                                      </a:lnTo>
                                      <a:lnTo>
                                        <a:pt x="980681" y="0"/>
                                      </a:lnTo>
                                      <a:close/>
                                    </a:path>
                                    <a:path w="1748789" h="605790">
                                      <a:moveTo>
                                        <a:pt x="1364919" y="0"/>
                                      </a:moveTo>
                                      <a:lnTo>
                                        <a:pt x="1151674" y="0"/>
                                      </a:lnTo>
                                      <a:lnTo>
                                        <a:pt x="1151674" y="522338"/>
                                      </a:lnTo>
                                      <a:lnTo>
                                        <a:pt x="1364919" y="522338"/>
                                      </a:lnTo>
                                      <a:lnTo>
                                        <a:pt x="1364919" y="0"/>
                                      </a:lnTo>
                                      <a:close/>
                                    </a:path>
                                    <a:path w="1748789" h="605790">
                                      <a:moveTo>
                                        <a:pt x="1748650" y="0"/>
                                      </a:moveTo>
                                      <a:lnTo>
                                        <a:pt x="1535366" y="0"/>
                                      </a:lnTo>
                                      <a:lnTo>
                                        <a:pt x="1535366" y="605612"/>
                                      </a:lnTo>
                                      <a:lnTo>
                                        <a:pt x="1748650" y="605612"/>
                                      </a:lnTo>
                                      <a:lnTo>
                                        <a:pt x="1748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0C7D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853188" y="1589082"/>
                                  <a:ext cx="981075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1075" h="217170">
                                      <a:moveTo>
                                        <a:pt x="212686" y="54368"/>
                                      </a:moveTo>
                                      <a:lnTo>
                                        <a:pt x="0" y="54368"/>
                                      </a:lnTo>
                                      <a:lnTo>
                                        <a:pt x="0" y="198894"/>
                                      </a:lnTo>
                                      <a:lnTo>
                                        <a:pt x="212686" y="198894"/>
                                      </a:lnTo>
                                      <a:lnTo>
                                        <a:pt x="212686" y="54368"/>
                                      </a:lnTo>
                                      <a:close/>
                                    </a:path>
                                    <a:path w="981075" h="217170">
                                      <a:moveTo>
                                        <a:pt x="596925" y="0"/>
                                      </a:moveTo>
                                      <a:lnTo>
                                        <a:pt x="383679" y="0"/>
                                      </a:lnTo>
                                      <a:lnTo>
                                        <a:pt x="383679" y="84645"/>
                                      </a:lnTo>
                                      <a:lnTo>
                                        <a:pt x="596925" y="84645"/>
                                      </a:lnTo>
                                      <a:lnTo>
                                        <a:pt x="596925" y="0"/>
                                      </a:lnTo>
                                      <a:close/>
                                    </a:path>
                                    <a:path w="981075" h="217170">
                                      <a:moveTo>
                                        <a:pt x="980655" y="83273"/>
                                      </a:moveTo>
                                      <a:lnTo>
                                        <a:pt x="767372" y="83273"/>
                                      </a:lnTo>
                                      <a:lnTo>
                                        <a:pt x="767372" y="216789"/>
                                      </a:lnTo>
                                      <a:lnTo>
                                        <a:pt x="980655" y="216789"/>
                                      </a:lnTo>
                                      <a:lnTo>
                                        <a:pt x="980655" y="832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A4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1066737"/>
                                  <a:ext cx="1919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9605" h="0">
                                      <a:moveTo>
                                        <a:pt x="0" y="0"/>
                                      </a:moveTo>
                                      <a:lnTo>
                                        <a:pt x="1918998" y="0"/>
                                      </a:lnTo>
                                    </a:path>
                                  </a:pathLst>
                                </a:custGeom>
                                <a:ln w="43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.793795pt;margin-top:16.131989pt;width:151.15pt;height:142.2pt;mso-position-horizontal-relative:column;mso-position-vertical-relative:paragraph;z-index:-18103808" id="docshapegroup180" coordorigin="596,323" coordsize="3023,2844">
                      <v:shape style="position:absolute;left:730;top:322;width:2754;height:1680" id="docshape181" coordorigin="730,323" coordsize="2754,1680" path="m1066,328l730,328,730,2003,1066,2003,1066,328xm1670,485l1334,485,1334,2003,1670,2003,1670,485xm2274,593l1939,593,1939,2003,2274,2003,2274,593xm2880,323l2544,323,2544,2003,2880,2003,2880,323xm3484,758l3148,758,3148,2003,3484,2003,3484,758xe" filled="true" fillcolor="#d2dfed" stroked="false">
                        <v:path arrowok="t"/>
                        <v:fill type="solid"/>
                      </v:shape>
                      <v:shape style="position:absolute;left:730;top:2002;width:2754;height:954" id="docshape182" coordorigin="730,2003" coordsize="2754,954" path="m1066,2003l730,2003,730,2861,1066,2861,1066,2003xm1670,2003l1334,2003,1334,2748,1670,2748,1670,2003xm2274,2003l1939,2003,1939,2911,2274,2911,2274,2003xm2880,2003l2544,2003,2544,2825,2880,2825,2880,2003xm3484,2003l3148,2003,3148,2956,3484,2956,3484,2003xe" filled="true" fillcolor="#b0c7dc" stroked="false">
                        <v:path arrowok="t"/>
                        <v:fill type="solid"/>
                      </v:shape>
                      <v:shape style="position:absolute;left:1939;top:2825;width:1545;height:342" id="docshape183" coordorigin="1939,2825" coordsize="1545,342" path="m2274,2911l1939,2911,1939,3138,2274,3138,2274,2911xm2880,2825l2544,2825,2544,2958,2880,2958,2880,2825xm3484,2956l3148,2956,3148,3167,3484,3167,3484,2956xe" filled="true" fillcolor="#a8a4a4" stroked="false">
                        <v:path arrowok="t"/>
                        <v:fill type="solid"/>
                      </v:shape>
                      <v:line style="position:absolute" from="596,2003" to="3618,2003" stroked="true" strokeweight=".3386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Georgia"/>
                <w:b/>
                <w:color w:val="11366B"/>
                <w:spacing w:val="-5"/>
                <w:sz w:val="10"/>
              </w:rPr>
              <w:t>0,1</w:t>
            </w:r>
            <w:r>
              <w:rPr>
                <w:rFonts w:ascii="Georgia"/>
                <w:b/>
                <w:color w:val="11366B"/>
                <w:sz w:val="10"/>
              </w:rPr>
              <w:tab/>
            </w:r>
            <w:r>
              <w:rPr>
                <w:rFonts w:ascii="Georgia"/>
                <w:b/>
                <w:color w:val="11366B"/>
                <w:spacing w:val="-5"/>
                <w:sz w:val="10"/>
              </w:rPr>
              <w:t>0,1</w:t>
            </w:r>
            <w:r>
              <w:rPr>
                <w:rFonts w:ascii="Georgia"/>
                <w:b/>
                <w:color w:val="11366B"/>
                <w:sz w:val="10"/>
              </w:rPr>
              <w:tab/>
            </w:r>
            <w:r>
              <w:rPr>
                <w:rFonts w:ascii="Georgia"/>
                <w:b/>
                <w:color w:val="11366B"/>
                <w:spacing w:val="-5"/>
                <w:sz w:val="10"/>
              </w:rPr>
              <w:t>0,0</w:t>
            </w:r>
            <w:r>
              <w:rPr>
                <w:rFonts w:ascii="Georgia"/>
                <w:b/>
                <w:color w:val="11366B"/>
                <w:sz w:val="10"/>
              </w:rPr>
              <w:tab/>
            </w:r>
            <w:r>
              <w:rPr>
                <w:rFonts w:ascii="Georgia"/>
                <w:b/>
                <w:color w:val="11366B"/>
                <w:spacing w:val="-5"/>
                <w:sz w:val="10"/>
              </w:rPr>
              <w:t>0,1</w:t>
            </w:r>
            <w:r>
              <w:rPr>
                <w:rFonts w:ascii="Georgia"/>
                <w:b/>
                <w:color w:val="11366B"/>
                <w:sz w:val="10"/>
              </w:rPr>
              <w:tab/>
            </w:r>
            <w:r>
              <w:rPr>
                <w:rFonts w:ascii="Georgia"/>
                <w:b/>
                <w:color w:val="11366B"/>
                <w:spacing w:val="-5"/>
                <w:sz w:val="10"/>
              </w:rPr>
              <w:t>0,0</w:t>
            </w: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22"/>
              <w:rPr>
                <w:sz w:val="10"/>
              </w:rPr>
            </w:pPr>
          </w:p>
          <w:p>
            <w:pPr>
              <w:pStyle w:val="TableParagraph"/>
              <w:tabs>
                <w:tab w:pos="1396" w:val="left" w:leader="none"/>
                <w:tab w:pos="2000" w:val="left" w:leader="none"/>
                <w:tab w:pos="2604" w:val="left" w:leader="none"/>
              </w:tabs>
              <w:spacing w:line="201" w:lineRule="auto" w:before="1"/>
              <w:ind w:left="791"/>
              <w:rPr>
                <w:i/>
                <w:sz w:val="11"/>
              </w:rPr>
            </w:pPr>
            <w:r>
              <w:rPr>
                <w:i/>
                <w:color w:val="7E7E7E"/>
                <w:spacing w:val="-4"/>
                <w:w w:val="85"/>
                <w:sz w:val="11"/>
              </w:rPr>
              <w:t>0,20</w:t>
            </w:r>
            <w:r>
              <w:rPr>
                <w:i/>
                <w:color w:val="7E7E7E"/>
                <w:sz w:val="11"/>
              </w:rPr>
              <w:tab/>
            </w:r>
            <w:r>
              <w:rPr>
                <w:i/>
                <w:color w:val="7E7E7E"/>
                <w:spacing w:val="-4"/>
                <w:w w:val="85"/>
                <w:position w:val="-7"/>
                <w:sz w:val="11"/>
              </w:rPr>
              <w:t>0,18</w:t>
            </w:r>
            <w:r>
              <w:rPr>
                <w:i/>
                <w:color w:val="7E7E7E"/>
                <w:position w:val="-7"/>
                <w:sz w:val="11"/>
              </w:rPr>
              <w:tab/>
            </w:r>
            <w:r>
              <w:rPr>
                <w:i/>
                <w:color w:val="7E7E7E"/>
                <w:spacing w:val="-4"/>
                <w:w w:val="85"/>
                <w:position w:val="-12"/>
                <w:sz w:val="11"/>
              </w:rPr>
              <w:t>0,17</w:t>
            </w:r>
            <w:r>
              <w:rPr>
                <w:i/>
                <w:color w:val="7E7E7E"/>
                <w:position w:val="-12"/>
                <w:sz w:val="11"/>
              </w:rPr>
              <w:tab/>
            </w:r>
            <w:r>
              <w:rPr>
                <w:i/>
                <w:color w:val="7E7E7E"/>
                <w:spacing w:val="-4"/>
                <w:w w:val="85"/>
                <w:sz w:val="11"/>
              </w:rPr>
              <w:t>0,20</w:t>
            </w:r>
          </w:p>
          <w:p>
            <w:pPr>
              <w:pStyle w:val="TableParagraph"/>
              <w:spacing w:line="110" w:lineRule="exact"/>
              <w:ind w:right="911"/>
              <w:jc w:val="right"/>
              <w:rPr>
                <w:sz w:val="11"/>
              </w:rPr>
            </w:pPr>
            <w:r>
              <w:rPr>
                <w:i/>
                <w:color w:val="7E7E7E"/>
                <w:w w:val="90"/>
                <w:sz w:val="11"/>
              </w:rPr>
              <w:t>0,15</w:t>
            </w:r>
            <w:r>
              <w:rPr>
                <w:i/>
                <w:color w:val="7E7E7E"/>
                <w:spacing w:val="62"/>
                <w:w w:val="15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Εισροές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55"/>
              <w:rPr>
                <w:sz w:val="11"/>
              </w:rPr>
            </w:pPr>
          </w:p>
          <w:p>
            <w:pPr>
              <w:pStyle w:val="TableParagraph"/>
              <w:tabs>
                <w:tab w:pos="1364" w:val="left" w:leader="none"/>
                <w:tab w:pos="1969" w:val="left" w:leader="none"/>
                <w:tab w:pos="2572" w:val="left" w:leader="none"/>
                <w:tab w:pos="3177" w:val="left" w:leader="none"/>
              </w:tabs>
              <w:spacing w:line="208" w:lineRule="exact"/>
              <w:ind w:left="759"/>
              <w:rPr>
                <w:position w:val="2"/>
                <w:sz w:val="11"/>
              </w:rPr>
            </w:pPr>
            <w:r>
              <w:rPr>
                <w:spacing w:val="-2"/>
                <w:w w:val="85"/>
                <w:sz w:val="11"/>
              </w:rPr>
              <w:t>(0,10)</w:t>
            </w:r>
            <w:r>
              <w:rPr>
                <w:sz w:val="11"/>
              </w:rPr>
              <w:tab/>
            </w:r>
            <w:r>
              <w:rPr>
                <w:spacing w:val="-2"/>
                <w:w w:val="80"/>
                <w:position w:val="6"/>
                <w:sz w:val="11"/>
              </w:rPr>
              <w:t>(0,09)</w:t>
            </w:r>
            <w:r>
              <w:rPr>
                <w:position w:val="6"/>
                <w:sz w:val="11"/>
              </w:rPr>
              <w:tab/>
            </w:r>
            <w:r>
              <w:rPr>
                <w:spacing w:val="-2"/>
                <w:w w:val="85"/>
                <w:position w:val="-1"/>
                <w:sz w:val="11"/>
              </w:rPr>
              <w:t>(0,11)</w:t>
            </w:r>
            <w:r>
              <w:rPr>
                <w:position w:val="-1"/>
                <w:sz w:val="11"/>
              </w:rPr>
              <w:tab/>
            </w:r>
            <w:r>
              <w:rPr>
                <w:spacing w:val="-2"/>
                <w:w w:val="85"/>
                <w:position w:val="2"/>
                <w:sz w:val="11"/>
              </w:rPr>
              <w:t>(0,10)</w:t>
            </w:r>
            <w:r>
              <w:rPr>
                <w:position w:val="2"/>
                <w:sz w:val="11"/>
              </w:rPr>
              <w:tab/>
            </w:r>
            <w:r>
              <w:rPr>
                <w:w w:val="80"/>
                <w:position w:val="-4"/>
                <w:sz w:val="11"/>
              </w:rPr>
              <w:t>(0,11)</w:t>
            </w:r>
            <w:r>
              <w:rPr>
                <w:spacing w:val="52"/>
                <w:position w:val="-4"/>
                <w:sz w:val="11"/>
              </w:rPr>
              <w:t> </w:t>
            </w:r>
            <w:r>
              <w:rPr>
                <w:w w:val="80"/>
                <w:position w:val="2"/>
                <w:sz w:val="11"/>
              </w:rPr>
              <w:t>Τακτική</w:t>
            </w:r>
            <w:r>
              <w:rPr>
                <w:spacing w:val="-4"/>
                <w:w w:val="80"/>
                <w:position w:val="2"/>
                <w:sz w:val="11"/>
              </w:rPr>
              <w:t> </w:t>
            </w:r>
            <w:r>
              <w:rPr>
                <w:spacing w:val="-2"/>
                <w:w w:val="80"/>
                <w:position w:val="2"/>
                <w:sz w:val="11"/>
              </w:rPr>
              <w:t>Εξυπηρέτηση</w:t>
            </w:r>
          </w:p>
          <w:p>
            <w:pPr>
              <w:pStyle w:val="TableParagraph"/>
              <w:spacing w:line="98" w:lineRule="exact"/>
              <w:ind w:right="64"/>
              <w:jc w:val="right"/>
              <w:rPr>
                <w:sz w:val="11"/>
              </w:rPr>
            </w:pPr>
            <w:r>
              <w:rPr>
                <w:w w:val="80"/>
                <w:sz w:val="11"/>
              </w:rPr>
              <w:t>Δανείων</w:t>
            </w:r>
            <w:r>
              <w:rPr>
                <w:spacing w:val="-3"/>
                <w:sz w:val="11"/>
              </w:rPr>
              <w:t> </w:t>
            </w:r>
            <w:r>
              <w:rPr>
                <w:w w:val="80"/>
                <w:sz w:val="11"/>
              </w:rPr>
              <w:t>και</w:t>
            </w:r>
            <w:r>
              <w:rPr>
                <w:spacing w:val="-3"/>
                <w:w w:val="80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Αποπληρωμές</w:t>
            </w:r>
          </w:p>
          <w:p>
            <w:pPr>
              <w:pStyle w:val="TableParagraph"/>
              <w:spacing w:before="16"/>
              <w:rPr>
                <w:sz w:val="11"/>
              </w:rPr>
            </w:pPr>
          </w:p>
          <w:p>
            <w:pPr>
              <w:pStyle w:val="TableParagraph"/>
              <w:spacing w:line="99" w:lineRule="exact"/>
              <w:ind w:left="1334"/>
              <w:rPr>
                <w:sz w:val="11"/>
              </w:rPr>
            </w:pPr>
            <w:r>
              <w:rPr>
                <w:color w:val="FFFFFF"/>
                <w:spacing w:val="-2"/>
                <w:w w:val="80"/>
                <w:sz w:val="11"/>
                <w:shd w:fill="A8A4A4" w:color="auto" w:val="clear"/>
              </w:rPr>
              <w:t> (0,02)</w:t>
            </w:r>
            <w:r>
              <w:rPr>
                <w:color w:val="FFFFFF"/>
                <w:spacing w:val="40"/>
                <w:sz w:val="11"/>
                <w:shd w:fill="A8A4A4" w:color="auto" w:val="clear"/>
              </w:rPr>
              <w:t> </w:t>
            </w:r>
          </w:p>
          <w:p>
            <w:pPr>
              <w:pStyle w:val="TableParagraph"/>
              <w:tabs>
                <w:tab w:pos="2572" w:val="left" w:leader="none"/>
                <w:tab w:pos="3559" w:val="left" w:leader="none"/>
              </w:tabs>
              <w:spacing w:line="137" w:lineRule="exact"/>
              <w:ind w:left="729"/>
              <w:rPr>
                <w:sz w:val="11"/>
              </w:rPr>
            </w:pPr>
            <w:r>
              <w:rPr>
                <w:color w:val="FFFFFF"/>
                <w:spacing w:val="-6"/>
                <w:w w:val="90"/>
                <w:position w:val="3"/>
                <w:sz w:val="11"/>
                <w:shd w:fill="A8A4A4" w:color="auto" w:val="clear"/>
              </w:rPr>
              <w:t> </w:t>
            </w:r>
            <w:r>
              <w:rPr>
                <w:color w:val="FFFFFF"/>
                <w:w w:val="90"/>
                <w:position w:val="3"/>
                <w:sz w:val="11"/>
                <w:shd w:fill="A8A4A4" w:color="auto" w:val="clear"/>
              </w:rPr>
              <w:t>(0,02)</w:t>
            </w:r>
            <w:r>
              <w:rPr>
                <w:color w:val="FFFFFF"/>
                <w:spacing w:val="-6"/>
                <w:w w:val="90"/>
                <w:position w:val="3"/>
                <w:sz w:val="11"/>
                <w:shd w:fill="A8A4A4" w:color="auto" w:val="clear"/>
              </w:rPr>
              <w:t> </w:t>
            </w:r>
            <w:r>
              <w:rPr>
                <w:color w:val="FFFFFF"/>
                <w:position w:val="3"/>
                <w:sz w:val="11"/>
              </w:rPr>
              <w:tab/>
            </w:r>
            <w:r>
              <w:rPr>
                <w:color w:val="FFFFFF"/>
                <w:spacing w:val="-2"/>
                <w:w w:val="90"/>
                <w:position w:val="8"/>
                <w:sz w:val="11"/>
              </w:rPr>
              <w:t>(0,02)</w:t>
            </w:r>
            <w:r>
              <w:rPr>
                <w:color w:val="FFFFFF"/>
                <w:position w:val="8"/>
                <w:sz w:val="11"/>
              </w:rPr>
              <w:tab/>
            </w:r>
            <w:r>
              <w:rPr>
                <w:color w:val="000000"/>
                <w:spacing w:val="-2"/>
                <w:w w:val="80"/>
                <w:sz w:val="11"/>
              </w:rPr>
              <w:t>Οριστικές</w:t>
            </w:r>
            <w:r>
              <w:rPr>
                <w:color w:val="000000"/>
                <w:spacing w:val="3"/>
                <w:sz w:val="11"/>
              </w:rPr>
              <w:t> </w:t>
            </w:r>
            <w:r>
              <w:rPr>
                <w:color w:val="000000"/>
                <w:spacing w:val="-2"/>
                <w:w w:val="90"/>
                <w:sz w:val="11"/>
              </w:rPr>
              <w:t>Διευθετήσεις</w:t>
            </w:r>
          </w:p>
          <w:p>
            <w:pPr>
              <w:pStyle w:val="TableParagraph"/>
              <w:tabs>
                <w:tab w:pos="3177" w:val="left" w:leader="none"/>
              </w:tabs>
              <w:spacing w:line="172" w:lineRule="exact"/>
              <w:ind w:left="1969"/>
              <w:rPr>
                <w:sz w:val="11"/>
              </w:rPr>
            </w:pPr>
            <w:r>
              <w:rPr>
                <w:color w:val="FFFFFF"/>
                <w:spacing w:val="-2"/>
                <w:w w:val="90"/>
                <w:position w:val="8"/>
                <w:sz w:val="11"/>
              </w:rPr>
              <w:t>(0,03)</w:t>
            </w:r>
            <w:r>
              <w:rPr>
                <w:color w:val="FFFFFF"/>
                <w:position w:val="8"/>
                <w:sz w:val="11"/>
              </w:rPr>
              <w:tab/>
            </w:r>
            <w:r>
              <w:rPr>
                <w:color w:val="FFFFFF"/>
                <w:w w:val="80"/>
                <w:position w:val="4"/>
                <w:sz w:val="11"/>
              </w:rPr>
              <w:t>(0,02)</w:t>
            </w:r>
            <w:r>
              <w:rPr>
                <w:color w:val="FFFFFF"/>
                <w:spacing w:val="56"/>
                <w:position w:val="4"/>
                <w:sz w:val="11"/>
              </w:rPr>
              <w:t> </w:t>
            </w:r>
            <w:r>
              <w:rPr>
                <w:w w:val="80"/>
                <w:sz w:val="11"/>
              </w:rPr>
              <w:t>και</w:t>
            </w:r>
            <w:r>
              <w:rPr>
                <w:spacing w:val="-5"/>
                <w:w w:val="80"/>
                <w:sz w:val="11"/>
              </w:rPr>
              <w:t> </w:t>
            </w:r>
            <w:r>
              <w:rPr>
                <w:spacing w:val="-2"/>
                <w:w w:val="80"/>
                <w:sz w:val="11"/>
              </w:rPr>
              <w:t>Διαγραφές</w:t>
            </w:r>
          </w:p>
          <w:p>
            <w:pPr>
              <w:pStyle w:val="TableParagraph"/>
              <w:spacing w:line="132" w:lineRule="exact" w:before="33"/>
              <w:ind w:right="593"/>
              <w:jc w:val="center"/>
              <w:rPr>
                <w:sz w:val="11"/>
              </w:rPr>
            </w:pPr>
            <w:r>
              <w:rPr>
                <w:w w:val="90"/>
                <w:sz w:val="11"/>
              </w:rPr>
              <w:t>Β’</w:t>
            </w:r>
            <w:r>
              <w:rPr>
                <w:spacing w:val="-6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τρίμηνο</w:t>
            </w:r>
            <w:r>
              <w:rPr>
                <w:spacing w:val="55"/>
                <w:sz w:val="11"/>
              </w:rPr>
              <w:t> </w:t>
            </w:r>
            <w:r>
              <w:rPr>
                <w:w w:val="90"/>
                <w:sz w:val="11"/>
              </w:rPr>
              <w:t>Γ’</w:t>
            </w:r>
            <w:r>
              <w:rPr>
                <w:spacing w:val="-6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τρίμηνο</w:t>
            </w:r>
            <w:r>
              <w:rPr>
                <w:spacing w:val="57"/>
                <w:sz w:val="11"/>
              </w:rPr>
              <w:t> </w:t>
            </w:r>
            <w:r>
              <w:rPr>
                <w:w w:val="90"/>
                <w:sz w:val="11"/>
              </w:rPr>
              <w:t>Δ’</w:t>
            </w:r>
            <w:r>
              <w:rPr>
                <w:spacing w:val="-5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τρίμηνο</w:t>
            </w:r>
            <w:r>
              <w:rPr>
                <w:spacing w:val="53"/>
                <w:sz w:val="11"/>
              </w:rPr>
              <w:t> </w:t>
            </w:r>
            <w:r>
              <w:rPr>
                <w:w w:val="90"/>
                <w:sz w:val="11"/>
              </w:rPr>
              <w:t>Α’</w:t>
            </w:r>
            <w:r>
              <w:rPr>
                <w:spacing w:val="-5"/>
                <w:w w:val="90"/>
                <w:sz w:val="11"/>
              </w:rPr>
              <w:t> </w:t>
            </w:r>
            <w:r>
              <w:rPr>
                <w:w w:val="90"/>
                <w:sz w:val="11"/>
              </w:rPr>
              <w:t>τρίμηνο</w:t>
            </w:r>
            <w:r>
              <w:rPr>
                <w:spacing w:val="58"/>
                <w:sz w:val="11"/>
              </w:rPr>
              <w:t> </w:t>
            </w:r>
            <w:r>
              <w:rPr>
                <w:w w:val="90"/>
                <w:sz w:val="11"/>
              </w:rPr>
              <w:t>Β’</w:t>
            </w:r>
            <w:r>
              <w:rPr>
                <w:spacing w:val="-5"/>
                <w:w w:val="90"/>
                <w:sz w:val="11"/>
              </w:rPr>
              <w:t> </w:t>
            </w:r>
            <w:r>
              <w:rPr>
                <w:spacing w:val="-2"/>
                <w:w w:val="90"/>
                <w:sz w:val="11"/>
              </w:rPr>
              <w:t>τρίμηνο</w:t>
            </w:r>
          </w:p>
          <w:p>
            <w:pPr>
              <w:pStyle w:val="TableParagraph"/>
              <w:tabs>
                <w:tab w:pos="604" w:val="left" w:leader="none"/>
                <w:tab w:pos="1209" w:val="left" w:leader="none"/>
                <w:tab w:pos="1812" w:val="left" w:leader="none"/>
                <w:tab w:pos="2417" w:val="left" w:leader="none"/>
              </w:tabs>
              <w:spacing w:line="132" w:lineRule="exact"/>
              <w:ind w:right="596"/>
              <w:jc w:val="center"/>
              <w:rPr>
                <w:sz w:val="11"/>
              </w:rPr>
            </w:pPr>
            <w:r>
              <w:rPr>
                <w:spacing w:val="-4"/>
                <w:w w:val="85"/>
                <w:sz w:val="11"/>
              </w:rPr>
              <w:t>2025</w:t>
            </w:r>
            <w:r>
              <w:rPr>
                <w:sz w:val="11"/>
              </w:rPr>
              <w:tab/>
            </w:r>
            <w:r>
              <w:rPr>
                <w:spacing w:val="-4"/>
                <w:w w:val="85"/>
                <w:sz w:val="11"/>
              </w:rPr>
              <w:t>2025</w:t>
            </w:r>
            <w:r>
              <w:rPr>
                <w:sz w:val="11"/>
              </w:rPr>
              <w:tab/>
            </w:r>
            <w:r>
              <w:rPr>
                <w:spacing w:val="-4"/>
                <w:w w:val="85"/>
                <w:sz w:val="11"/>
              </w:rPr>
              <w:t>2025</w:t>
            </w:r>
            <w:r>
              <w:rPr>
                <w:sz w:val="11"/>
              </w:rPr>
              <w:tab/>
            </w:r>
            <w:r>
              <w:rPr>
                <w:spacing w:val="-4"/>
                <w:w w:val="85"/>
                <w:sz w:val="11"/>
              </w:rPr>
              <w:t>2026</w:t>
            </w:r>
            <w:r>
              <w:rPr>
                <w:sz w:val="11"/>
              </w:rPr>
              <w:tab/>
            </w:r>
            <w:r>
              <w:rPr>
                <w:spacing w:val="-4"/>
                <w:w w:val="85"/>
                <w:sz w:val="11"/>
              </w:rPr>
              <w:t>2026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59"/>
              <w:ind w:left="115" w:right="1232"/>
              <w:jc w:val="center"/>
              <w:rPr>
                <w:sz w:val="13"/>
              </w:rPr>
            </w:pP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3184">
                      <wp:simplePos x="0" y="0"/>
                      <wp:positionH relativeFrom="column">
                        <wp:posOffset>163645</wp:posOffset>
                      </wp:positionH>
                      <wp:positionV relativeFrom="paragraph">
                        <wp:posOffset>247641</wp:posOffset>
                      </wp:positionV>
                      <wp:extent cx="2771775" cy="890269"/>
                      <wp:effectExtent l="0" t="0" r="0" b="0"/>
                      <wp:wrapNone/>
                      <wp:docPr id="198" name="Group 1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8" name="Group 198"/>
                            <wpg:cNvGrpSpPr/>
                            <wpg:grpSpPr>
                              <a:xfrm>
                                <a:off x="0" y="0"/>
                                <a:ext cx="2771775" cy="890269"/>
                                <a:chExt cx="2771775" cy="890269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123514" y="315587"/>
                                  <a:ext cx="2524760" cy="572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4760" h="572135">
                                      <a:moveTo>
                                        <a:pt x="307530" y="415925"/>
                                      </a:moveTo>
                                      <a:lnTo>
                                        <a:pt x="0" y="415925"/>
                                      </a:lnTo>
                                      <a:lnTo>
                                        <a:pt x="0" y="571995"/>
                                      </a:lnTo>
                                      <a:lnTo>
                                        <a:pt x="307530" y="571995"/>
                                      </a:lnTo>
                                      <a:lnTo>
                                        <a:pt x="307530" y="415925"/>
                                      </a:lnTo>
                                      <a:close/>
                                    </a:path>
                                    <a:path w="2524760" h="572135">
                                      <a:moveTo>
                                        <a:pt x="862126" y="252374"/>
                                      </a:moveTo>
                                      <a:lnTo>
                                        <a:pt x="553758" y="252374"/>
                                      </a:lnTo>
                                      <a:lnTo>
                                        <a:pt x="553758" y="571995"/>
                                      </a:lnTo>
                                      <a:lnTo>
                                        <a:pt x="862126" y="571995"/>
                                      </a:lnTo>
                                      <a:lnTo>
                                        <a:pt x="862126" y="252374"/>
                                      </a:lnTo>
                                      <a:close/>
                                    </a:path>
                                    <a:path w="2524760" h="572135">
                                      <a:moveTo>
                                        <a:pt x="1415859" y="0"/>
                                      </a:moveTo>
                                      <a:lnTo>
                                        <a:pt x="1108329" y="0"/>
                                      </a:lnTo>
                                      <a:lnTo>
                                        <a:pt x="1108329" y="571995"/>
                                      </a:lnTo>
                                      <a:lnTo>
                                        <a:pt x="1415859" y="571995"/>
                                      </a:lnTo>
                                      <a:lnTo>
                                        <a:pt x="1415859" y="0"/>
                                      </a:lnTo>
                                      <a:close/>
                                    </a:path>
                                    <a:path w="2524760" h="572135">
                                      <a:moveTo>
                                        <a:pt x="1970430" y="192608"/>
                                      </a:moveTo>
                                      <a:lnTo>
                                        <a:pt x="1662061" y="192608"/>
                                      </a:lnTo>
                                      <a:lnTo>
                                        <a:pt x="1662061" y="571995"/>
                                      </a:lnTo>
                                      <a:lnTo>
                                        <a:pt x="1970430" y="571995"/>
                                      </a:lnTo>
                                      <a:lnTo>
                                        <a:pt x="1970430" y="192608"/>
                                      </a:lnTo>
                                      <a:close/>
                                    </a:path>
                                    <a:path w="2524760" h="572135">
                                      <a:moveTo>
                                        <a:pt x="2524163" y="252374"/>
                                      </a:moveTo>
                                      <a:lnTo>
                                        <a:pt x="2216620" y="252374"/>
                                      </a:lnTo>
                                      <a:lnTo>
                                        <a:pt x="2216620" y="571995"/>
                                      </a:lnTo>
                                      <a:lnTo>
                                        <a:pt x="2524163" y="571995"/>
                                      </a:lnTo>
                                      <a:lnTo>
                                        <a:pt x="2524163" y="2523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F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123514" y="175290"/>
                                  <a:ext cx="2524760" cy="556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4760" h="556260">
                                      <a:moveTo>
                                        <a:pt x="307530" y="351993"/>
                                      </a:moveTo>
                                      <a:lnTo>
                                        <a:pt x="0" y="351993"/>
                                      </a:lnTo>
                                      <a:lnTo>
                                        <a:pt x="0" y="556221"/>
                                      </a:lnTo>
                                      <a:lnTo>
                                        <a:pt x="307530" y="556221"/>
                                      </a:lnTo>
                                      <a:lnTo>
                                        <a:pt x="307530" y="351993"/>
                                      </a:lnTo>
                                      <a:close/>
                                    </a:path>
                                    <a:path w="2524760" h="556260">
                                      <a:moveTo>
                                        <a:pt x="862126" y="218338"/>
                                      </a:moveTo>
                                      <a:lnTo>
                                        <a:pt x="553758" y="218338"/>
                                      </a:lnTo>
                                      <a:lnTo>
                                        <a:pt x="553758" y="392671"/>
                                      </a:lnTo>
                                      <a:lnTo>
                                        <a:pt x="862126" y="392671"/>
                                      </a:lnTo>
                                      <a:lnTo>
                                        <a:pt x="862126" y="218338"/>
                                      </a:lnTo>
                                      <a:close/>
                                    </a:path>
                                    <a:path w="2524760" h="556260">
                                      <a:moveTo>
                                        <a:pt x="1415859" y="0"/>
                                      </a:moveTo>
                                      <a:lnTo>
                                        <a:pt x="1108329" y="0"/>
                                      </a:lnTo>
                                      <a:lnTo>
                                        <a:pt x="1108329" y="140296"/>
                                      </a:lnTo>
                                      <a:lnTo>
                                        <a:pt x="1415859" y="140296"/>
                                      </a:lnTo>
                                      <a:lnTo>
                                        <a:pt x="1415859" y="0"/>
                                      </a:lnTo>
                                      <a:close/>
                                    </a:path>
                                    <a:path w="2524760" h="556260">
                                      <a:moveTo>
                                        <a:pt x="1970430" y="187617"/>
                                      </a:moveTo>
                                      <a:lnTo>
                                        <a:pt x="1662061" y="187617"/>
                                      </a:lnTo>
                                      <a:lnTo>
                                        <a:pt x="1662061" y="332905"/>
                                      </a:lnTo>
                                      <a:lnTo>
                                        <a:pt x="1970430" y="332905"/>
                                      </a:lnTo>
                                      <a:lnTo>
                                        <a:pt x="1970430" y="187617"/>
                                      </a:lnTo>
                                      <a:close/>
                                    </a:path>
                                    <a:path w="2524760" h="556260">
                                      <a:moveTo>
                                        <a:pt x="2524163" y="285584"/>
                                      </a:moveTo>
                                      <a:lnTo>
                                        <a:pt x="2216620" y="285584"/>
                                      </a:lnTo>
                                      <a:lnTo>
                                        <a:pt x="2216620" y="392671"/>
                                      </a:lnTo>
                                      <a:lnTo>
                                        <a:pt x="2524163" y="392671"/>
                                      </a:lnTo>
                                      <a:lnTo>
                                        <a:pt x="2524163" y="2855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A4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123517" y="175280"/>
                                  <a:ext cx="2524760" cy="556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4760" h="556260">
                                      <a:moveTo>
                                        <a:pt x="0" y="351997"/>
                                      </a:moveTo>
                                      <a:lnTo>
                                        <a:pt x="307533" y="351997"/>
                                      </a:lnTo>
                                      <a:lnTo>
                                        <a:pt x="307533" y="556222"/>
                                      </a:lnTo>
                                      <a:lnTo>
                                        <a:pt x="0" y="556222"/>
                                      </a:lnTo>
                                      <a:lnTo>
                                        <a:pt x="0" y="351997"/>
                                      </a:lnTo>
                                      <a:close/>
                                    </a:path>
                                    <a:path w="2524760" h="556260">
                                      <a:moveTo>
                                        <a:pt x="553762" y="218338"/>
                                      </a:moveTo>
                                      <a:lnTo>
                                        <a:pt x="862136" y="218338"/>
                                      </a:lnTo>
                                      <a:lnTo>
                                        <a:pt x="862136" y="392676"/>
                                      </a:lnTo>
                                      <a:lnTo>
                                        <a:pt x="553762" y="392676"/>
                                      </a:lnTo>
                                      <a:lnTo>
                                        <a:pt x="553762" y="218338"/>
                                      </a:lnTo>
                                      <a:close/>
                                    </a:path>
                                    <a:path w="2524760" h="556260">
                                      <a:moveTo>
                                        <a:pt x="1108330" y="0"/>
                                      </a:moveTo>
                                      <a:lnTo>
                                        <a:pt x="1415864" y="0"/>
                                      </a:lnTo>
                                      <a:lnTo>
                                        <a:pt x="1415864" y="140301"/>
                                      </a:lnTo>
                                      <a:lnTo>
                                        <a:pt x="1108330" y="140300"/>
                                      </a:lnTo>
                                      <a:lnTo>
                                        <a:pt x="1108330" y="0"/>
                                      </a:lnTo>
                                      <a:close/>
                                    </a:path>
                                    <a:path w="2524760" h="556260">
                                      <a:moveTo>
                                        <a:pt x="1662058" y="187621"/>
                                      </a:moveTo>
                                      <a:lnTo>
                                        <a:pt x="1970432" y="187621"/>
                                      </a:lnTo>
                                      <a:lnTo>
                                        <a:pt x="1970432" y="332903"/>
                                      </a:lnTo>
                                      <a:lnTo>
                                        <a:pt x="1662058" y="332903"/>
                                      </a:lnTo>
                                      <a:lnTo>
                                        <a:pt x="1662058" y="187621"/>
                                      </a:lnTo>
                                      <a:close/>
                                    </a:path>
                                    <a:path w="2524760" h="556260">
                                      <a:moveTo>
                                        <a:pt x="2216627" y="285583"/>
                                      </a:moveTo>
                                      <a:lnTo>
                                        <a:pt x="2524160" y="285583"/>
                                      </a:lnTo>
                                      <a:lnTo>
                                        <a:pt x="2524160" y="392676"/>
                                      </a:lnTo>
                                      <a:lnTo>
                                        <a:pt x="2216627" y="392676"/>
                                      </a:lnTo>
                                      <a:lnTo>
                                        <a:pt x="2216627" y="2855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2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123514" y="2608"/>
                                  <a:ext cx="2524760" cy="525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4760" h="525145">
                                      <a:moveTo>
                                        <a:pt x="307530" y="329577"/>
                                      </a:moveTo>
                                      <a:lnTo>
                                        <a:pt x="0" y="329577"/>
                                      </a:lnTo>
                                      <a:lnTo>
                                        <a:pt x="0" y="524675"/>
                                      </a:lnTo>
                                      <a:lnTo>
                                        <a:pt x="307530" y="524675"/>
                                      </a:lnTo>
                                      <a:lnTo>
                                        <a:pt x="307530" y="329577"/>
                                      </a:lnTo>
                                      <a:close/>
                                    </a:path>
                                    <a:path w="2524760" h="525145">
                                      <a:moveTo>
                                        <a:pt x="862126" y="244068"/>
                                      </a:moveTo>
                                      <a:lnTo>
                                        <a:pt x="553758" y="244068"/>
                                      </a:lnTo>
                                      <a:lnTo>
                                        <a:pt x="553758" y="391020"/>
                                      </a:lnTo>
                                      <a:lnTo>
                                        <a:pt x="862126" y="391020"/>
                                      </a:lnTo>
                                      <a:lnTo>
                                        <a:pt x="862126" y="244068"/>
                                      </a:lnTo>
                                      <a:close/>
                                    </a:path>
                                    <a:path w="2524760" h="525145">
                                      <a:moveTo>
                                        <a:pt x="1415859" y="0"/>
                                      </a:moveTo>
                                      <a:lnTo>
                                        <a:pt x="1108329" y="0"/>
                                      </a:lnTo>
                                      <a:lnTo>
                                        <a:pt x="1108329" y="172681"/>
                                      </a:lnTo>
                                      <a:lnTo>
                                        <a:pt x="1415859" y="172681"/>
                                      </a:lnTo>
                                      <a:lnTo>
                                        <a:pt x="1415859" y="0"/>
                                      </a:lnTo>
                                      <a:close/>
                                    </a:path>
                                    <a:path w="2524760" h="525145">
                                      <a:moveTo>
                                        <a:pt x="1970430" y="235775"/>
                                      </a:moveTo>
                                      <a:lnTo>
                                        <a:pt x="1662061" y="235775"/>
                                      </a:lnTo>
                                      <a:lnTo>
                                        <a:pt x="1662061" y="360299"/>
                                      </a:lnTo>
                                      <a:lnTo>
                                        <a:pt x="1970430" y="360299"/>
                                      </a:lnTo>
                                      <a:lnTo>
                                        <a:pt x="1970430" y="235775"/>
                                      </a:lnTo>
                                      <a:close/>
                                    </a:path>
                                    <a:path w="2524760" h="525145">
                                      <a:moveTo>
                                        <a:pt x="2524163" y="325437"/>
                                      </a:moveTo>
                                      <a:lnTo>
                                        <a:pt x="2216620" y="325437"/>
                                      </a:lnTo>
                                      <a:lnTo>
                                        <a:pt x="2216620" y="458266"/>
                                      </a:lnTo>
                                      <a:lnTo>
                                        <a:pt x="2524163" y="458266"/>
                                      </a:lnTo>
                                      <a:lnTo>
                                        <a:pt x="2524163" y="3254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0C7D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123517" y="2602"/>
                                  <a:ext cx="2524760" cy="525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4760" h="525145">
                                      <a:moveTo>
                                        <a:pt x="0" y="329582"/>
                                      </a:moveTo>
                                      <a:lnTo>
                                        <a:pt x="307533" y="329582"/>
                                      </a:lnTo>
                                      <a:lnTo>
                                        <a:pt x="307533" y="524675"/>
                                      </a:lnTo>
                                      <a:lnTo>
                                        <a:pt x="0" y="524675"/>
                                      </a:lnTo>
                                      <a:lnTo>
                                        <a:pt x="0" y="329582"/>
                                      </a:lnTo>
                                      <a:close/>
                                    </a:path>
                                    <a:path w="2524760" h="525145">
                                      <a:moveTo>
                                        <a:pt x="553762" y="244073"/>
                                      </a:moveTo>
                                      <a:lnTo>
                                        <a:pt x="862136" y="244073"/>
                                      </a:lnTo>
                                      <a:lnTo>
                                        <a:pt x="862136" y="391016"/>
                                      </a:lnTo>
                                      <a:lnTo>
                                        <a:pt x="553762" y="391016"/>
                                      </a:lnTo>
                                      <a:lnTo>
                                        <a:pt x="553762" y="244073"/>
                                      </a:lnTo>
                                      <a:close/>
                                    </a:path>
                                    <a:path w="2524760" h="525145">
                                      <a:moveTo>
                                        <a:pt x="1108330" y="0"/>
                                      </a:moveTo>
                                      <a:lnTo>
                                        <a:pt x="1415864" y="0"/>
                                      </a:lnTo>
                                      <a:lnTo>
                                        <a:pt x="1415864" y="172678"/>
                                      </a:lnTo>
                                      <a:lnTo>
                                        <a:pt x="1108331" y="172678"/>
                                      </a:lnTo>
                                      <a:lnTo>
                                        <a:pt x="1108330" y="0"/>
                                      </a:lnTo>
                                      <a:close/>
                                    </a:path>
                                    <a:path w="2524760" h="525145">
                                      <a:moveTo>
                                        <a:pt x="1662058" y="235772"/>
                                      </a:moveTo>
                                      <a:lnTo>
                                        <a:pt x="1970432" y="235772"/>
                                      </a:lnTo>
                                      <a:lnTo>
                                        <a:pt x="1970432" y="360299"/>
                                      </a:lnTo>
                                      <a:lnTo>
                                        <a:pt x="1662058" y="360299"/>
                                      </a:lnTo>
                                      <a:lnTo>
                                        <a:pt x="1662058" y="235772"/>
                                      </a:lnTo>
                                      <a:close/>
                                    </a:path>
                                    <a:path w="2524760" h="525145">
                                      <a:moveTo>
                                        <a:pt x="2216627" y="325431"/>
                                      </a:moveTo>
                                      <a:lnTo>
                                        <a:pt x="2524160" y="325432"/>
                                      </a:lnTo>
                                      <a:lnTo>
                                        <a:pt x="2524160" y="458261"/>
                                      </a:lnTo>
                                      <a:lnTo>
                                        <a:pt x="2216627" y="458261"/>
                                      </a:lnTo>
                                      <a:lnTo>
                                        <a:pt x="2216627" y="3254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22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0" y="745608"/>
                                  <a:ext cx="2771775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1775" h="142240">
                                      <a:moveTo>
                                        <a:pt x="0" y="141961"/>
                                      </a:moveTo>
                                      <a:lnTo>
                                        <a:pt x="2771195" y="141961"/>
                                      </a:lnTo>
                                    </a:path>
                                    <a:path w="2771775" h="142240">
                                      <a:moveTo>
                                        <a:pt x="94948" y="97131"/>
                                      </a:moveTo>
                                      <a:lnTo>
                                        <a:pt x="458779" y="0"/>
                                      </a:lnTo>
                                    </a:path>
                                    <a:path w="2771775" h="142240">
                                      <a:moveTo>
                                        <a:pt x="94948" y="127848"/>
                                      </a:moveTo>
                                      <a:lnTo>
                                        <a:pt x="458779" y="30716"/>
                                      </a:lnTo>
                                    </a:path>
                                    <a:path w="2771775" h="142240">
                                      <a:moveTo>
                                        <a:pt x="648711" y="97131"/>
                                      </a:moveTo>
                                      <a:lnTo>
                                        <a:pt x="1012471" y="0"/>
                                      </a:lnTo>
                                    </a:path>
                                    <a:path w="2771775" h="142240">
                                      <a:moveTo>
                                        <a:pt x="648711" y="127848"/>
                                      </a:moveTo>
                                      <a:lnTo>
                                        <a:pt x="1012471" y="30716"/>
                                      </a:lnTo>
                                    </a:path>
                                    <a:path w="2771775" h="142240">
                                      <a:moveTo>
                                        <a:pt x="1202439" y="97131"/>
                                      </a:moveTo>
                                      <a:lnTo>
                                        <a:pt x="1567880" y="0"/>
                                      </a:lnTo>
                                    </a:path>
                                    <a:path w="2771775" h="142240">
                                      <a:moveTo>
                                        <a:pt x="1202439" y="127848"/>
                                      </a:moveTo>
                                      <a:lnTo>
                                        <a:pt x="1567880" y="30716"/>
                                      </a:lnTo>
                                    </a:path>
                                    <a:path w="2771775" h="142240">
                                      <a:moveTo>
                                        <a:pt x="1757777" y="97131"/>
                                      </a:moveTo>
                                      <a:lnTo>
                                        <a:pt x="2121608" y="0"/>
                                      </a:lnTo>
                                    </a:path>
                                    <a:path w="2771775" h="142240">
                                      <a:moveTo>
                                        <a:pt x="1757777" y="127848"/>
                                      </a:moveTo>
                                      <a:lnTo>
                                        <a:pt x="2121608" y="30716"/>
                                      </a:lnTo>
                                    </a:path>
                                    <a:path w="2771775" h="142240">
                                      <a:moveTo>
                                        <a:pt x="2311575" y="97131"/>
                                      </a:moveTo>
                                      <a:lnTo>
                                        <a:pt x="2675336" y="0"/>
                                      </a:lnTo>
                                    </a:path>
                                    <a:path w="2771775" h="142240">
                                      <a:moveTo>
                                        <a:pt x="2311575" y="127848"/>
                                      </a:moveTo>
                                      <a:lnTo>
                                        <a:pt x="2675336" y="30717"/>
                                      </a:lnTo>
                                    </a:path>
                                  </a:pathLst>
                                </a:custGeom>
                                <a:ln w="52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146204" y="760552"/>
                                  <a:ext cx="26162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620" h="99060">
                                      <a:moveTo>
                                        <a:pt x="2613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8791"/>
                                      </a:lnTo>
                                      <a:lnTo>
                                        <a:pt x="261319" y="98791"/>
                                      </a:lnTo>
                                      <a:lnTo>
                                        <a:pt x="2613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F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885457pt;margin-top:19.499367pt;width:218.25pt;height:70.1pt;mso-position-horizontal-relative:column;mso-position-vertical-relative:paragraph;z-index:-18103296" id="docshapegroup184" coordorigin="258,390" coordsize="4365,1402">
                      <v:shape style="position:absolute;left:452;top:886;width:3976;height:901" id="docshape185" coordorigin="452,887" coordsize="3976,901" path="m937,1542l452,1542,452,1788,937,1788,937,1542xm1810,1284l1324,1284,1324,1788,1810,1788,1810,1284xm2682,887l2198,887,2198,1788,2682,1788,2682,887xm3555,1190l3070,1190,3070,1788,3555,1788,3555,1190xm4427,1284l3943,1284,3943,1788,4427,1788,4427,1284xe" filled="true" fillcolor="#d2dfed" stroked="false">
                        <v:path arrowok="t"/>
                        <v:fill type="solid"/>
                      </v:shape>
                      <v:shape style="position:absolute;left:452;top:666;width:3976;height:876" id="docshape186" coordorigin="452,666" coordsize="3976,876" path="m937,1220l452,1220,452,1542,937,1542,937,1220xm1810,1010l1324,1010,1324,1284,1810,1284,1810,1010xm2682,666l2198,666,2198,887,2682,887,2682,666xm3555,961l3070,961,3070,1190,3555,1190,3555,961xm4427,1116l3943,1116,3943,1284,4427,1284,4427,1116xe" filled="true" fillcolor="#a8a4a4" stroked="false">
                        <v:path arrowok="t"/>
                        <v:fill type="solid"/>
                      </v:shape>
                      <v:shape style="position:absolute;left:452;top:666;width:3976;height:876" id="docshape187" coordorigin="452,666" coordsize="3976,876" path="m452,1220l937,1220,937,1542,452,1542,452,1220xm1324,1010l1810,1010,1810,1284,1324,1284,1324,1010xm2198,666l2682,666,2682,887,2198,887,2198,666xm3070,961l3555,961,3555,1190,3070,1190,3070,961xm3943,1116l4427,1116,4427,1284,3943,1284,3943,1116xe" filled="false" stroked="true" strokeweight=".411033pt" strokecolor="#ffffff">
                        <v:path arrowok="t"/>
                        <v:stroke dashstyle="solid"/>
                      </v:shape>
                      <v:shape style="position:absolute;left:452;top:394;width:3976;height:827" id="docshape188" coordorigin="452,394" coordsize="3976,827" path="m937,913l452,913,452,1220,937,1220,937,913xm1810,778l1324,778,1324,1010,1810,1010,1810,778xm2682,394l2198,394,2198,666,2682,666,2682,394xm3555,765l3070,765,3070,961,3555,961,3555,765xm4427,907l3943,907,3943,1116,4427,1116,4427,907xe" filled="true" fillcolor="#b0c7dc" stroked="false">
                        <v:path arrowok="t"/>
                        <v:fill type="solid"/>
                      </v:shape>
                      <v:shape style="position:absolute;left:452;top:394;width:3976;height:827" id="docshape189" coordorigin="452,394" coordsize="3976,827" path="m452,913l937,913,937,1220,452,1220,452,913xm1324,778l1810,778,1810,1010,1324,1010,1324,778xm2198,394l2682,394,2682,666,2198,666,2198,394xm3070,765l3555,765,3555,961,3070,961,3070,765xm3943,907l4427,907,4427,1116,3943,1116,3943,907xe" filled="false" stroked="true" strokeweight=".411033pt" strokecolor="#ffffff">
                        <v:path arrowok="t"/>
                        <v:stroke dashstyle="solid"/>
                      </v:shape>
                      <v:shape style="position:absolute;left:257;top:1564;width:4365;height:224" id="docshape190" coordorigin="258,1564" coordsize="4365,224" path="m258,1788l4622,1788m407,1717l980,1564m407,1766l980,1613m1279,1717l1852,1564m1279,1766l1852,1613m2151,1717l2727,1564m2151,1766l2727,1613m3026,1717l3599,1564m3026,1766l3599,1613m3898,1717l4471,1564m3898,1766l4471,1613e" filled="false" stroked="true" strokeweight=".411033pt" strokecolor="#000000">
                        <v:path arrowok="t"/>
                        <v:stroke dashstyle="solid"/>
                      </v:shape>
                      <v:rect style="position:absolute;left:487;top:1587;width:412;height:156" id="docshape191" filled="true" fillcolor="#d2dfed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808080"/>
                <w:spacing w:val="-4"/>
                <w:sz w:val="13"/>
              </w:rPr>
              <w:t>%</w:t>
            </w:r>
            <w:r>
              <w:rPr>
                <w:color w:val="808080"/>
                <w:spacing w:val="-2"/>
                <w:sz w:val="13"/>
              </w:rPr>
              <w:t> </w:t>
            </w:r>
            <w:r>
              <w:rPr>
                <w:color w:val="808080"/>
                <w:spacing w:val="-4"/>
                <w:sz w:val="13"/>
              </w:rPr>
              <w:t>Χορηγήσεων μετά</w:t>
            </w:r>
            <w:r>
              <w:rPr>
                <w:color w:val="808080"/>
                <w:spacing w:val="-6"/>
                <w:sz w:val="13"/>
              </w:rPr>
              <w:t> </w:t>
            </w:r>
            <w:r>
              <w:rPr>
                <w:color w:val="808080"/>
                <w:spacing w:val="-4"/>
                <w:sz w:val="13"/>
              </w:rPr>
              <w:t>από</w:t>
            </w:r>
            <w:r>
              <w:rPr>
                <w:color w:val="808080"/>
                <w:spacing w:val="-8"/>
                <w:sz w:val="13"/>
              </w:rPr>
              <w:t> </w:t>
            </w:r>
            <w:r>
              <w:rPr>
                <w:color w:val="808080"/>
                <w:spacing w:val="-4"/>
                <w:sz w:val="13"/>
              </w:rPr>
              <w:t>συσσωρευμένες</w:t>
            </w:r>
            <w:r>
              <w:rPr>
                <w:color w:val="808080"/>
                <w:spacing w:val="-8"/>
                <w:sz w:val="13"/>
              </w:rPr>
              <w:t> </w:t>
            </w:r>
            <w:r>
              <w:rPr>
                <w:color w:val="808080"/>
                <w:spacing w:val="-4"/>
                <w:sz w:val="13"/>
              </w:rPr>
              <w:t>προβλέψεις</w:t>
            </w:r>
          </w:p>
          <w:p>
            <w:pPr>
              <w:pStyle w:val="TableParagraph"/>
              <w:spacing w:line="155" w:lineRule="exact"/>
              <w:ind w:left="53"/>
              <w:jc w:val="center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0,58%</w:t>
            </w:r>
          </w:p>
          <w:p>
            <w:pPr>
              <w:pStyle w:val="TableParagraph"/>
              <w:spacing w:line="147" w:lineRule="exact" w:before="79"/>
              <w:ind w:left="53"/>
              <w:jc w:val="center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0,10%</w:t>
            </w:r>
          </w:p>
          <w:p>
            <w:pPr>
              <w:pStyle w:val="TableParagraph"/>
              <w:tabs>
                <w:tab w:pos="1801" w:val="left" w:leader="none"/>
              </w:tabs>
              <w:spacing w:line="126" w:lineRule="exact"/>
              <w:ind w:left="55"/>
              <w:jc w:val="center"/>
              <w:rPr>
                <w:position w:val="1"/>
                <w:sz w:val="13"/>
              </w:rPr>
            </w:pPr>
            <w:r>
              <w:rPr>
                <w:spacing w:val="-2"/>
                <w:w w:val="95"/>
                <w:sz w:val="13"/>
              </w:rPr>
              <w:t>0,44%</w:t>
            </w:r>
            <w:r>
              <w:rPr>
                <w:sz w:val="13"/>
              </w:rPr>
              <w:tab/>
            </w:r>
            <w:r>
              <w:rPr>
                <w:spacing w:val="-2"/>
                <w:w w:val="95"/>
                <w:position w:val="1"/>
                <w:sz w:val="13"/>
              </w:rPr>
              <w:t>0,44%</w:t>
            </w:r>
          </w:p>
          <w:p>
            <w:pPr>
              <w:pStyle w:val="TableParagraph"/>
              <w:tabs>
                <w:tab w:pos="1353" w:val="left" w:leader="none"/>
                <w:tab w:pos="2226" w:val="left" w:leader="none"/>
                <w:tab w:pos="3100" w:val="left" w:leader="none"/>
                <w:tab w:pos="3973" w:val="left" w:leader="none"/>
              </w:tabs>
              <w:spacing w:line="189" w:lineRule="auto"/>
              <w:ind w:left="481"/>
              <w:rPr>
                <w:position w:val="1"/>
                <w:sz w:val="13"/>
              </w:rPr>
            </w:pPr>
            <w:r>
              <w:rPr>
                <w:spacing w:val="-2"/>
                <w:w w:val="95"/>
                <w:sz w:val="13"/>
              </w:rPr>
              <w:t>0,39%</w:t>
            </w:r>
            <w:r>
              <w:rPr>
                <w:sz w:val="13"/>
              </w:rPr>
              <w:tab/>
            </w:r>
            <w:r>
              <w:rPr>
                <w:spacing w:val="-2"/>
                <w:w w:val="95"/>
                <w:position w:val="-7"/>
                <w:sz w:val="13"/>
              </w:rPr>
              <w:t>0,08%</w:t>
            </w:r>
            <w:r>
              <w:rPr>
                <w:position w:val="-7"/>
                <w:sz w:val="13"/>
              </w:rPr>
              <w:tab/>
            </w:r>
            <w:r>
              <w:rPr>
                <w:spacing w:val="-2"/>
                <w:w w:val="95"/>
                <w:position w:val="4"/>
                <w:sz w:val="13"/>
              </w:rPr>
              <w:t>0,08%</w:t>
            </w:r>
            <w:r>
              <w:rPr>
                <w:position w:val="4"/>
                <w:sz w:val="13"/>
              </w:rPr>
              <w:tab/>
            </w:r>
            <w:r>
              <w:rPr>
                <w:spacing w:val="-2"/>
                <w:w w:val="95"/>
                <w:position w:val="-4"/>
                <w:sz w:val="13"/>
              </w:rPr>
              <w:t>0,07%</w:t>
            </w:r>
            <w:r>
              <w:rPr>
                <w:position w:val="-4"/>
                <w:sz w:val="13"/>
              </w:rPr>
              <w:tab/>
            </w:r>
            <w:r>
              <w:rPr>
                <w:spacing w:val="-2"/>
                <w:w w:val="95"/>
                <w:position w:val="1"/>
                <w:sz w:val="13"/>
              </w:rPr>
              <w:t>0,39%</w:t>
            </w:r>
          </w:p>
          <w:p>
            <w:pPr>
              <w:pStyle w:val="TableParagraph"/>
              <w:tabs>
                <w:tab w:pos="1353" w:val="left" w:leader="none"/>
                <w:tab w:pos="3100" w:val="left" w:leader="none"/>
                <w:tab w:pos="3973" w:val="left" w:leader="none"/>
              </w:tabs>
              <w:spacing w:line="108" w:lineRule="auto"/>
              <w:ind w:left="481"/>
              <w:rPr>
                <w:position w:val="7"/>
                <w:sz w:val="13"/>
              </w:rPr>
            </w:pPr>
            <w:r>
              <w:rPr>
                <w:spacing w:val="-2"/>
                <w:w w:val="95"/>
                <w:position w:val="1"/>
                <w:sz w:val="13"/>
              </w:rPr>
              <w:t>0,11%</w:t>
            </w:r>
            <w:r>
              <w:rPr>
                <w:position w:val="1"/>
                <w:sz w:val="13"/>
              </w:rPr>
              <w:tab/>
            </w:r>
            <w:r>
              <w:rPr>
                <w:spacing w:val="-2"/>
                <w:w w:val="95"/>
                <w:position w:val="-6"/>
                <w:sz w:val="13"/>
              </w:rPr>
              <w:t>0,10%</w:t>
            </w:r>
            <w:r>
              <w:rPr>
                <w:position w:val="-6"/>
                <w:sz w:val="13"/>
              </w:rPr>
              <w:tab/>
            </w:r>
            <w:r>
              <w:rPr>
                <w:spacing w:val="-2"/>
                <w:w w:val="95"/>
                <w:sz w:val="13"/>
              </w:rPr>
              <w:t>0,08%</w:t>
            </w:r>
            <w:r>
              <w:rPr>
                <w:sz w:val="13"/>
              </w:rPr>
              <w:tab/>
            </w:r>
            <w:r>
              <w:rPr>
                <w:spacing w:val="-2"/>
                <w:w w:val="95"/>
                <w:position w:val="7"/>
                <w:sz w:val="13"/>
              </w:rPr>
              <w:t>0,08%</w:t>
            </w:r>
          </w:p>
          <w:p>
            <w:pPr>
              <w:pStyle w:val="TableParagraph"/>
              <w:spacing w:line="96" w:lineRule="exact"/>
              <w:ind w:right="423"/>
              <w:jc w:val="right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0,06%</w:t>
            </w:r>
          </w:p>
          <w:p>
            <w:pPr>
              <w:pStyle w:val="TableParagraph"/>
              <w:tabs>
                <w:tab w:pos="1353" w:val="left" w:leader="none"/>
                <w:tab w:pos="2226" w:val="left" w:leader="none"/>
                <w:tab w:pos="3100" w:val="left" w:leader="none"/>
                <w:tab w:pos="3973" w:val="left" w:leader="none"/>
              </w:tabs>
              <w:spacing w:line="269" w:lineRule="exact"/>
              <w:ind w:left="481"/>
              <w:rPr>
                <w:sz w:val="13"/>
              </w:rPr>
            </w:pPr>
            <w:r>
              <w:rPr>
                <w:spacing w:val="-2"/>
                <w:w w:val="95"/>
                <w:position w:val="8"/>
                <w:sz w:val="13"/>
              </w:rPr>
              <w:t>0,12%</w:t>
            </w:r>
            <w:r>
              <w:rPr>
                <w:position w:val="8"/>
                <w:sz w:val="13"/>
              </w:rPr>
              <w:tab/>
            </w:r>
            <w:r>
              <w:rPr>
                <w:spacing w:val="-2"/>
                <w:w w:val="95"/>
                <w:sz w:val="13"/>
              </w:rPr>
              <w:t>0,26%</w:t>
            </w:r>
            <w:r>
              <w:rPr>
                <w:sz w:val="13"/>
              </w:rPr>
              <w:tab/>
            </w:r>
            <w:r>
              <w:rPr>
                <w:spacing w:val="-2"/>
                <w:w w:val="95"/>
                <w:position w:val="12"/>
                <w:sz w:val="13"/>
              </w:rPr>
              <w:t>0,40%</w:t>
            </w:r>
            <w:r>
              <w:rPr>
                <w:position w:val="12"/>
                <w:sz w:val="13"/>
              </w:rPr>
              <w:tab/>
            </w:r>
            <w:r>
              <w:rPr>
                <w:spacing w:val="-2"/>
                <w:w w:val="95"/>
                <w:sz w:val="13"/>
              </w:rPr>
              <w:t>0,29%</w:t>
            </w:r>
            <w:r>
              <w:rPr>
                <w:sz w:val="13"/>
              </w:rPr>
              <w:tab/>
            </w:r>
            <w:r>
              <w:rPr>
                <w:spacing w:val="-2"/>
                <w:w w:val="95"/>
                <w:sz w:val="13"/>
              </w:rPr>
              <w:t>0,26%</w:t>
            </w:r>
          </w:p>
          <w:p>
            <w:pPr>
              <w:pStyle w:val="TableParagraph"/>
              <w:spacing w:before="37"/>
              <w:ind w:left="481"/>
              <w:rPr>
                <w:sz w:val="13"/>
              </w:rPr>
            </w:pPr>
            <w:r>
              <w:rPr>
                <w:spacing w:val="-2"/>
                <w:w w:val="95"/>
                <w:sz w:val="13"/>
              </w:rPr>
              <w:t>0,16%</w:t>
            </w:r>
          </w:p>
          <w:p>
            <w:pPr>
              <w:pStyle w:val="TableParagraph"/>
              <w:tabs>
                <w:tab w:pos="952" w:val="left" w:leader="none"/>
                <w:tab w:pos="1811" w:val="left" w:leader="none"/>
                <w:tab w:pos="2686" w:val="left" w:leader="none"/>
                <w:tab w:pos="3566" w:val="left" w:leader="none"/>
              </w:tabs>
              <w:spacing w:line="158" w:lineRule="exact" w:before="86"/>
              <w:ind w:left="74"/>
              <w:jc w:val="center"/>
              <w:rPr>
                <w:sz w:val="13"/>
              </w:rPr>
            </w:pPr>
            <w:r>
              <w:rPr>
                <w:sz w:val="13"/>
              </w:rPr>
              <w:t>Β’</w:t>
            </w:r>
            <w:r>
              <w:rPr>
                <w:spacing w:val="-1"/>
                <w:sz w:val="13"/>
              </w:rPr>
              <w:t> </w:t>
            </w:r>
            <w:r>
              <w:rPr>
                <w:spacing w:val="-2"/>
                <w:sz w:val="13"/>
              </w:rPr>
              <w:t>τρίμηνο</w:t>
            </w:r>
            <w:r>
              <w:rPr>
                <w:sz w:val="13"/>
              </w:rPr>
              <w:tab/>
              <w:t>Γ’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2"/>
                <w:sz w:val="13"/>
              </w:rPr>
              <w:t>τρίμηνο</w:t>
            </w:r>
            <w:r>
              <w:rPr>
                <w:sz w:val="13"/>
              </w:rPr>
              <w:tab/>
              <w:t>Δ’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τρίμηνο</w:t>
            </w:r>
            <w:r>
              <w:rPr>
                <w:sz w:val="13"/>
              </w:rPr>
              <w:tab/>
              <w:t>Α’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τρίμηνο</w:t>
            </w:r>
            <w:r>
              <w:rPr>
                <w:sz w:val="13"/>
              </w:rPr>
              <w:tab/>
              <w:t>Β’</w:t>
            </w:r>
            <w:r>
              <w:rPr>
                <w:spacing w:val="-2"/>
                <w:sz w:val="13"/>
              </w:rPr>
              <w:t> τρίμηνο</w:t>
            </w:r>
          </w:p>
          <w:p>
            <w:pPr>
              <w:pStyle w:val="TableParagraph"/>
              <w:tabs>
                <w:tab w:pos="942" w:val="left" w:leader="none"/>
                <w:tab w:pos="1814" w:val="left" w:leader="none"/>
                <w:tab w:pos="2688" w:val="left" w:leader="none"/>
                <w:tab w:pos="3561" w:val="left" w:leader="none"/>
              </w:tabs>
              <w:spacing w:line="158" w:lineRule="exact"/>
              <w:ind w:left="69"/>
              <w:jc w:val="center"/>
              <w:rPr>
                <w:sz w:val="13"/>
              </w:rPr>
            </w:pP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4208">
                      <wp:simplePos x="0" y="0"/>
                      <wp:positionH relativeFrom="column">
                        <wp:posOffset>1431624</wp:posOffset>
                      </wp:positionH>
                      <wp:positionV relativeFrom="paragraph">
                        <wp:posOffset>136112</wp:posOffset>
                      </wp:positionV>
                      <wp:extent cx="118745" cy="88265"/>
                      <wp:effectExtent l="0" t="0" r="0" b="0"/>
                      <wp:wrapNone/>
                      <wp:docPr id="206" name="Group 2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6" name="Group 206"/>
                            <wpg:cNvGrpSpPr/>
                            <wpg:grpSpPr>
                              <a:xfrm>
                                <a:off x="0" y="0"/>
                                <a:ext cx="118745" cy="88265"/>
                                <a:chExt cx="118745" cy="88265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0"/>
                                  <a:ext cx="118745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745" h="88265">
                                      <a:moveTo>
                                        <a:pt x="1184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7999"/>
                                      </a:lnTo>
                                      <a:lnTo>
                                        <a:pt x="118475" y="87999"/>
                                      </a:lnTo>
                                      <a:lnTo>
                                        <a:pt x="1184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F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2.726364pt;margin-top:10.717522pt;width:9.35pt;height:6.95pt;mso-position-horizontal-relative:column;mso-position-vertical-relative:paragraph;z-index:-18102272" id="docshapegroup192" coordorigin="2255,214" coordsize="187,139">
                      <v:rect style="position:absolute;left:2254;top:214;width:187;height:139" id="docshape193" filled="true" fillcolor="#d2dfed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3"/>
              </w:rPr>
              <w:t>2025</w:t>
            </w:r>
            <w:r>
              <w:rPr>
                <w:sz w:val="13"/>
              </w:rPr>
              <w:tab/>
            </w:r>
            <w:r>
              <w:rPr>
                <w:spacing w:val="-4"/>
                <w:sz w:val="13"/>
              </w:rPr>
              <w:t>2025</w:t>
            </w:r>
            <w:r>
              <w:rPr>
                <w:sz w:val="13"/>
              </w:rPr>
              <w:tab/>
            </w:r>
            <w:r>
              <w:rPr>
                <w:spacing w:val="-4"/>
                <w:sz w:val="13"/>
              </w:rPr>
              <w:t>2025</w:t>
            </w:r>
            <w:r>
              <w:rPr>
                <w:sz w:val="13"/>
              </w:rPr>
              <w:tab/>
            </w:r>
            <w:r>
              <w:rPr>
                <w:spacing w:val="-4"/>
                <w:sz w:val="13"/>
              </w:rPr>
              <w:t>2026</w:t>
            </w:r>
            <w:r>
              <w:rPr>
                <w:sz w:val="13"/>
              </w:rPr>
              <w:tab/>
            </w:r>
            <w:r>
              <w:rPr>
                <w:spacing w:val="-4"/>
                <w:sz w:val="13"/>
              </w:rPr>
              <w:t>2026</w:t>
            </w:r>
          </w:p>
          <w:p>
            <w:pPr>
              <w:pStyle w:val="TableParagraph"/>
              <w:tabs>
                <w:tab w:pos="2485" w:val="left" w:leader="none"/>
              </w:tabs>
              <w:spacing w:before="50"/>
              <w:ind w:left="456"/>
              <w:rPr>
                <w:sz w:val="13"/>
              </w:rPr>
            </w:pP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3696">
                      <wp:simplePos x="0" y="0"/>
                      <wp:positionH relativeFrom="column">
                        <wp:posOffset>143479</wp:posOffset>
                      </wp:positionH>
                      <wp:positionV relativeFrom="paragraph">
                        <wp:posOffset>36131</wp:posOffset>
                      </wp:positionV>
                      <wp:extent cx="118745" cy="215265"/>
                      <wp:effectExtent l="0" t="0" r="0" b="0"/>
                      <wp:wrapNone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118745" cy="215265"/>
                                <a:chExt cx="118745" cy="215265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0"/>
                                  <a:ext cx="118745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745" h="88265">
                                      <a:moveTo>
                                        <a:pt x="1184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7999"/>
                                      </a:lnTo>
                                      <a:lnTo>
                                        <a:pt x="118475" y="87999"/>
                                      </a:lnTo>
                                      <a:lnTo>
                                        <a:pt x="1184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0C7D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0" y="127847"/>
                                  <a:ext cx="118745" cy="87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745" h="87630">
                                      <a:moveTo>
                                        <a:pt x="1184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7169"/>
                                      </a:lnTo>
                                      <a:lnTo>
                                        <a:pt x="118475" y="87169"/>
                                      </a:lnTo>
                                      <a:lnTo>
                                        <a:pt x="1184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8A4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297578pt;margin-top:2.845028pt;width:9.35pt;height:16.95pt;mso-position-horizontal-relative:column;mso-position-vertical-relative:paragraph;z-index:-18102784" id="docshapegroup194" coordorigin="226,57" coordsize="187,339">
                      <v:rect style="position:absolute;left:225;top:56;width:187;height:139" id="docshape195" filled="true" fillcolor="#b0c7dc" stroked="false">
                        <v:fill type="solid"/>
                      </v:rect>
                      <v:rect style="position:absolute;left:225;top:258;width:187;height:138" id="docshape196" filled="true" fillcolor="#a8a4a4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13"/>
              </w:rPr>
              <w:t>Έξοδα</w:t>
            </w:r>
            <w:r>
              <w:rPr>
                <w:spacing w:val="-3"/>
                <w:sz w:val="13"/>
              </w:rPr>
              <w:t> </w:t>
            </w:r>
            <w:r>
              <w:rPr>
                <w:spacing w:val="-4"/>
                <w:sz w:val="13"/>
              </w:rPr>
              <w:t>Διαχείρισης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4"/>
                <w:sz w:val="13"/>
              </w:rPr>
              <w:t>Δανείων</w:t>
            </w:r>
            <w:r>
              <w:rPr>
                <w:sz w:val="13"/>
              </w:rPr>
              <w:tab/>
            </w:r>
            <w:r>
              <w:rPr>
                <w:spacing w:val="-6"/>
                <w:sz w:val="13"/>
              </w:rPr>
              <w:t>Οργανικό</w:t>
            </w:r>
            <w:r>
              <w:rPr>
                <w:sz w:val="13"/>
              </w:rPr>
              <w:t> </w:t>
            </w:r>
            <w:r>
              <w:rPr>
                <w:spacing w:val="-2"/>
                <w:sz w:val="13"/>
              </w:rPr>
              <w:t>επίπεδο</w:t>
            </w:r>
          </w:p>
          <w:p>
            <w:pPr>
              <w:pStyle w:val="TableParagraph"/>
              <w:spacing w:line="120" w:lineRule="exact" w:before="42"/>
              <w:ind w:left="456"/>
              <w:rPr>
                <w:sz w:val="13"/>
              </w:rPr>
            </w:pPr>
            <w:r>
              <w:rPr>
                <w:spacing w:val="-4"/>
                <w:sz w:val="13"/>
              </w:rPr>
              <w:t>Έξοδα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sz w:val="13"/>
              </w:rPr>
              <w:t>Τιτλοποιήσεων</w:t>
            </w:r>
          </w:p>
        </w:tc>
      </w:tr>
      <w:tr>
        <w:trPr>
          <w:trHeight w:val="130" w:hRule="atLeast"/>
        </w:trPr>
        <w:tc>
          <w:tcPr>
            <w:tcW w:w="4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55" w:hRule="atLeast"/>
        </w:trPr>
        <w:tc>
          <w:tcPr>
            <w:tcW w:w="4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84" w:lineRule="exact" w:before="69"/>
              <w:ind w:left="115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4"/>
                <w:sz w:val="18"/>
              </w:rPr>
              <w:t>Δείκτες &amp; ποσοστά κάλυψης</w:t>
            </w:r>
            <w:r>
              <w:rPr>
                <w:rFonts w:ascii="Tahoma" w:hAnsi="Tahoma"/>
                <w:b/>
                <w:spacing w:val="-3"/>
                <w:sz w:val="18"/>
              </w:rPr>
              <w:t> </w:t>
            </w:r>
            <w:r>
              <w:rPr>
                <w:rFonts w:ascii="Tahoma" w:hAnsi="Tahoma"/>
                <w:b/>
                <w:spacing w:val="-5"/>
                <w:sz w:val="18"/>
              </w:rPr>
              <w:t>ΜΕΑ</w:t>
            </w:r>
          </w:p>
        </w:tc>
      </w:tr>
      <w:tr>
        <w:trPr>
          <w:trHeight w:val="2328" w:hRule="atLeast"/>
        </w:trPr>
        <w:tc>
          <w:tcPr>
            <w:tcW w:w="4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20" w:type="dxa"/>
          </w:tcPr>
          <w:p>
            <w:pPr>
              <w:pStyle w:val="TableParagraph"/>
              <w:tabs>
                <w:tab w:pos="1554" w:val="left" w:leader="none"/>
                <w:tab w:pos="2481" w:val="left" w:leader="none"/>
                <w:tab w:pos="3407" w:val="left" w:leader="none"/>
                <w:tab w:pos="4333" w:val="left" w:leader="none"/>
              </w:tabs>
              <w:spacing w:before="67"/>
              <w:ind w:left="142"/>
              <w:rPr>
                <w:position w:val="1"/>
                <w:sz w:val="13"/>
              </w:rPr>
            </w:pPr>
            <w:r>
              <w:rPr>
                <w:position w:val="1"/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4720">
                      <wp:simplePos x="0" y="0"/>
                      <wp:positionH relativeFrom="column">
                        <wp:posOffset>484546</wp:posOffset>
                      </wp:positionH>
                      <wp:positionV relativeFrom="paragraph">
                        <wp:posOffset>198290</wp:posOffset>
                      </wp:positionV>
                      <wp:extent cx="2368550" cy="60960"/>
                      <wp:effectExtent l="0" t="0" r="0" b="0"/>
                      <wp:wrapNone/>
                      <wp:docPr id="211" name="Group 2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1" name="Group 211"/>
                            <wpg:cNvGrpSpPr/>
                            <wpg:grpSpPr>
                              <a:xfrm>
                                <a:off x="0" y="0"/>
                                <a:ext cx="2368550" cy="60960"/>
                                <a:chExt cx="2368550" cy="60960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7836" y="7836"/>
                                  <a:ext cx="2352675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2675" h="45720">
                                      <a:moveTo>
                                        <a:pt x="0" y="3343"/>
                                      </a:moveTo>
                                      <a:lnTo>
                                        <a:pt x="588554" y="45138"/>
                                      </a:lnTo>
                                      <a:lnTo>
                                        <a:pt x="1176238" y="0"/>
                                      </a:lnTo>
                                      <a:lnTo>
                                        <a:pt x="1763922" y="37615"/>
                                      </a:lnTo>
                                      <a:lnTo>
                                        <a:pt x="2352442" y="38451"/>
                                      </a:lnTo>
                                    </a:path>
                                  </a:pathLst>
                                </a:custGeom>
                                <a:ln w="15672">
                                  <a:solidFill>
                                    <a:srgbClr val="A8A4A4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.15329pt;margin-top:15.61342pt;width:186.5pt;height:4.8pt;mso-position-horizontal-relative:column;mso-position-vertical-relative:paragraph;z-index:-18101760" id="docshapegroup197" coordorigin="763,312" coordsize="3730,96">
                      <v:shape style="position:absolute;left:775;top:324;width:3705;height:72" id="docshape198" coordorigin="775,325" coordsize="3705,72" path="m775,330l1702,396,2628,325,3553,384,4480,385e" filled="false" stroked="true" strokeweight="1.234094pt" strokecolor="#a8a4a4">
                        <v:path arrowok="t"/>
                        <v:stroke dashstyle="longdash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8E8E8E"/>
                <w:spacing w:val="-4"/>
                <w:position w:val="12"/>
                <w:sz w:val="13"/>
              </w:rPr>
              <w:t>Όμιλος</w:t>
            </w:r>
            <w:r>
              <w:rPr>
                <w:color w:val="8E8E8E"/>
                <w:spacing w:val="2"/>
                <w:position w:val="12"/>
                <w:sz w:val="13"/>
              </w:rPr>
              <w:t> </w:t>
            </w:r>
            <w:r>
              <w:rPr>
                <w:spacing w:val="-5"/>
                <w:position w:val="7"/>
                <w:sz w:val="13"/>
              </w:rPr>
              <w:t>57%</w:t>
            </w:r>
            <w:r>
              <w:rPr>
                <w:position w:val="7"/>
                <w:sz w:val="13"/>
              </w:rPr>
              <w:tab/>
            </w:r>
            <w:r>
              <w:rPr>
                <w:spacing w:val="-5"/>
                <w:sz w:val="13"/>
              </w:rPr>
              <w:t>55%</w:t>
            </w:r>
            <w:r>
              <w:rPr>
                <w:sz w:val="13"/>
              </w:rPr>
              <w:tab/>
            </w:r>
            <w:r>
              <w:rPr>
                <w:spacing w:val="-5"/>
                <w:position w:val="7"/>
                <w:sz w:val="13"/>
              </w:rPr>
              <w:t>58%</w:t>
            </w:r>
            <w:r>
              <w:rPr>
                <w:position w:val="7"/>
                <w:sz w:val="13"/>
              </w:rPr>
              <w:tab/>
            </w:r>
            <w:r>
              <w:rPr>
                <w:spacing w:val="-5"/>
                <w:position w:val="1"/>
                <w:sz w:val="13"/>
              </w:rPr>
              <w:t>55%</w:t>
            </w:r>
            <w:r>
              <w:rPr>
                <w:position w:val="1"/>
                <w:sz w:val="13"/>
              </w:rPr>
              <w:tab/>
            </w:r>
            <w:r>
              <w:rPr>
                <w:spacing w:val="-5"/>
                <w:position w:val="1"/>
                <w:sz w:val="13"/>
              </w:rPr>
              <w:t>55%</w:t>
            </w: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139"/>
              <w:rPr>
                <w:sz w:val="13"/>
              </w:rPr>
            </w:pPr>
          </w:p>
          <w:p>
            <w:pPr>
              <w:pStyle w:val="TableParagraph"/>
              <w:tabs>
                <w:tab w:pos="1531" w:val="left" w:leader="none"/>
                <w:tab w:pos="2458" w:val="left" w:leader="none"/>
                <w:tab w:pos="3384" w:val="left" w:leader="none"/>
                <w:tab w:pos="4310" w:val="left" w:leader="none"/>
              </w:tabs>
              <w:spacing w:before="1" w:after="33"/>
              <w:ind w:left="605"/>
              <w:rPr>
                <w:sz w:val="13"/>
              </w:rPr>
            </w:pPr>
            <w:r>
              <w:rPr>
                <w:spacing w:val="-4"/>
                <w:w w:val="95"/>
                <w:sz w:val="13"/>
              </w:rPr>
              <w:t>3.5%</w:t>
            </w:r>
            <w:r>
              <w:rPr>
                <w:sz w:val="13"/>
              </w:rPr>
              <w:tab/>
            </w:r>
            <w:r>
              <w:rPr>
                <w:spacing w:val="-4"/>
                <w:w w:val="95"/>
                <w:sz w:val="13"/>
              </w:rPr>
              <w:t>3.6%</w:t>
            </w:r>
            <w:r>
              <w:rPr>
                <w:sz w:val="13"/>
              </w:rPr>
              <w:tab/>
            </w:r>
            <w:r>
              <w:rPr>
                <w:spacing w:val="-4"/>
                <w:w w:val="95"/>
                <w:sz w:val="13"/>
              </w:rPr>
              <w:t>3.6%</w:t>
            </w:r>
            <w:r>
              <w:rPr>
                <w:sz w:val="13"/>
              </w:rPr>
              <w:tab/>
            </w:r>
            <w:r>
              <w:rPr>
                <w:spacing w:val="-4"/>
                <w:w w:val="95"/>
                <w:position w:val="1"/>
                <w:sz w:val="13"/>
              </w:rPr>
              <w:t>3.7%</w:t>
            </w:r>
            <w:r>
              <w:rPr>
                <w:position w:val="1"/>
                <w:sz w:val="13"/>
              </w:rPr>
              <w:tab/>
            </w:r>
            <w:r>
              <w:rPr>
                <w:spacing w:val="-4"/>
                <w:w w:val="95"/>
                <w:sz w:val="13"/>
              </w:rPr>
              <w:t>3.6%</w:t>
            </w:r>
          </w:p>
          <w:p>
            <w:pPr>
              <w:pStyle w:val="TableParagraph"/>
              <w:spacing w:line="109" w:lineRule="exact"/>
              <w:ind w:left="762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368550" cy="68580"/>
                      <wp:effectExtent l="9525" t="0" r="3175" b="7619"/>
                      <wp:docPr id="213" name="Group 2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3" name="Group 213"/>
                            <wpg:cNvGrpSpPr/>
                            <wpg:grpSpPr>
                              <a:xfrm>
                                <a:off x="0" y="0"/>
                                <a:ext cx="2368550" cy="68580"/>
                                <a:chExt cx="2368550" cy="68580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8254" y="65930"/>
                                  <a:ext cx="2352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2040" h="0">
                                      <a:moveTo>
                                        <a:pt x="0" y="0"/>
                                      </a:moveTo>
                                      <a:lnTo>
                                        <a:pt x="2351606" y="0"/>
                                      </a:lnTo>
                                    </a:path>
                                  </a:pathLst>
                                </a:custGeom>
                                <a:ln w="52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7836" y="7836"/>
                                  <a:ext cx="2352675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2675" h="3810">
                                      <a:moveTo>
                                        <a:pt x="0" y="3343"/>
                                      </a:moveTo>
                                      <a:lnTo>
                                        <a:pt x="588554" y="1671"/>
                                      </a:lnTo>
                                      <a:lnTo>
                                        <a:pt x="1176238" y="1671"/>
                                      </a:lnTo>
                                      <a:lnTo>
                                        <a:pt x="1763922" y="0"/>
                                      </a:lnTo>
                                      <a:lnTo>
                                        <a:pt x="2352442" y="1671"/>
                                      </a:lnTo>
                                    </a:path>
                                  </a:pathLst>
                                </a:custGeom>
                                <a:ln w="15672">
                                  <a:solidFill>
                                    <a:srgbClr val="B0C7D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6.5pt;height:5.4pt;mso-position-horizontal-relative:char;mso-position-vertical-relative:line" id="docshapegroup199" coordorigin="0,0" coordsize="3730,108">
                      <v:line style="position:absolute" from="13,104" to="3716,104" stroked="true" strokeweight=".411365pt" strokecolor="#000000">
                        <v:stroke dashstyle="solid"/>
                      </v:line>
                      <v:shape style="position:absolute;left:12;top:12;width:3705;height:6" id="docshape200" coordorigin="12,12" coordsize="3705,6" path="m12,18l939,15,1865,15,2790,12,3717,15e" filled="false" stroked="true" strokeweight="1.234094pt" strokecolor="#b0c7dc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tabs>
                <w:tab w:pos="1486" w:val="left" w:leader="none"/>
                <w:tab w:pos="2412" w:val="left" w:leader="none"/>
                <w:tab w:pos="3314" w:val="left" w:leader="none"/>
                <w:tab w:pos="4248" w:val="left" w:leader="none"/>
              </w:tabs>
              <w:spacing w:before="36"/>
              <w:ind w:left="544"/>
              <w:rPr>
                <w:sz w:val="13"/>
              </w:rPr>
            </w:pPr>
            <w:r>
              <w:rPr>
                <w:spacing w:val="-2"/>
                <w:w w:val="85"/>
                <w:sz w:val="13"/>
              </w:rPr>
              <w:t>Ιουν-</w:t>
            </w:r>
            <w:r>
              <w:rPr>
                <w:spacing w:val="-5"/>
                <w:sz w:val="13"/>
              </w:rPr>
              <w:t>25</w:t>
            </w:r>
            <w:r>
              <w:rPr>
                <w:sz w:val="13"/>
              </w:rPr>
              <w:tab/>
            </w:r>
            <w:r>
              <w:rPr>
                <w:w w:val="85"/>
                <w:sz w:val="13"/>
              </w:rPr>
              <w:t>Σεπ-</w:t>
            </w:r>
            <w:r>
              <w:rPr>
                <w:spacing w:val="-5"/>
                <w:sz w:val="13"/>
              </w:rPr>
              <w:t>25</w:t>
            </w:r>
            <w:r>
              <w:rPr>
                <w:sz w:val="13"/>
              </w:rPr>
              <w:tab/>
            </w:r>
            <w:r>
              <w:rPr>
                <w:w w:val="85"/>
                <w:sz w:val="13"/>
              </w:rPr>
              <w:t>Δεκ-</w:t>
            </w:r>
            <w:r>
              <w:rPr>
                <w:spacing w:val="-5"/>
                <w:sz w:val="13"/>
              </w:rPr>
              <w:t>25</w:t>
            </w:r>
            <w:r>
              <w:rPr>
                <w:sz w:val="13"/>
              </w:rPr>
              <w:tab/>
            </w:r>
            <w:r>
              <w:rPr>
                <w:spacing w:val="-2"/>
                <w:w w:val="95"/>
                <w:sz w:val="13"/>
              </w:rPr>
              <w:t>Μαρ-</w:t>
            </w:r>
            <w:r>
              <w:rPr>
                <w:spacing w:val="-5"/>
                <w:sz w:val="13"/>
              </w:rPr>
              <w:t>26</w:t>
            </w:r>
            <w:r>
              <w:rPr>
                <w:sz w:val="13"/>
              </w:rPr>
              <w:tab/>
            </w:r>
            <w:r>
              <w:rPr>
                <w:spacing w:val="-2"/>
                <w:w w:val="85"/>
                <w:sz w:val="13"/>
              </w:rPr>
              <w:t>Ιουν-</w:t>
            </w:r>
            <w:r>
              <w:rPr>
                <w:spacing w:val="-5"/>
                <w:sz w:val="13"/>
              </w:rPr>
              <w:t>26</w:t>
            </w:r>
          </w:p>
          <w:p>
            <w:pPr>
              <w:pStyle w:val="TableParagraph"/>
              <w:tabs>
                <w:tab w:pos="2969" w:val="left" w:leader="none"/>
              </w:tabs>
              <w:spacing w:before="122"/>
              <w:ind w:left="1528"/>
              <w:rPr>
                <w:sz w:val="13"/>
              </w:rPr>
            </w:pP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5232">
                      <wp:simplePos x="0" y="0"/>
                      <wp:positionH relativeFrom="column">
                        <wp:posOffset>652889</wp:posOffset>
                      </wp:positionH>
                      <wp:positionV relativeFrom="paragraph">
                        <wp:posOffset>118027</wp:posOffset>
                      </wp:positionV>
                      <wp:extent cx="282575" cy="15875"/>
                      <wp:effectExtent l="0" t="0" r="0" b="0"/>
                      <wp:wrapNone/>
                      <wp:docPr id="216" name="Group 2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6" name="Group 216"/>
                            <wpg:cNvGrpSpPr/>
                            <wpg:grpSpPr>
                              <a:xfrm>
                                <a:off x="0" y="0"/>
                                <a:ext cx="282575" cy="15875"/>
                                <a:chExt cx="282575" cy="15875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7836"/>
                                  <a:ext cx="282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575" h="0">
                                      <a:moveTo>
                                        <a:pt x="0" y="0"/>
                                      </a:moveTo>
                                      <a:lnTo>
                                        <a:pt x="282173" y="0"/>
                                      </a:lnTo>
                                    </a:path>
                                  </a:pathLst>
                                </a:custGeom>
                                <a:ln w="15672">
                                  <a:solidFill>
                                    <a:srgbClr val="B0C7D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.408585pt;margin-top:9.293526pt;width:22.25pt;height:1.25pt;mso-position-horizontal-relative:column;mso-position-vertical-relative:paragraph;z-index:-18101248" id="docshapegroup201" coordorigin="1028,186" coordsize="445,25">
                      <v:line style="position:absolute" from="1028,198" to="1473,198" stroked="true" strokeweight="1.234094pt" strokecolor="#b0c7dc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5744">
                      <wp:simplePos x="0" y="0"/>
                      <wp:positionH relativeFrom="column">
                        <wp:posOffset>1567470</wp:posOffset>
                      </wp:positionH>
                      <wp:positionV relativeFrom="paragraph">
                        <wp:posOffset>118027</wp:posOffset>
                      </wp:positionV>
                      <wp:extent cx="282575" cy="15875"/>
                      <wp:effectExtent l="0" t="0" r="0" b="0"/>
                      <wp:wrapNone/>
                      <wp:docPr id="218" name="Group 2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8" name="Group 218"/>
                            <wpg:cNvGrpSpPr/>
                            <wpg:grpSpPr>
                              <a:xfrm>
                                <a:off x="0" y="0"/>
                                <a:ext cx="282575" cy="15875"/>
                                <a:chExt cx="282575" cy="15875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7836"/>
                                  <a:ext cx="2825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2575" h="0">
                                      <a:moveTo>
                                        <a:pt x="0" y="0"/>
                                      </a:moveTo>
                                      <a:lnTo>
                                        <a:pt x="282138" y="0"/>
                                      </a:lnTo>
                                    </a:path>
                                  </a:pathLst>
                                </a:custGeom>
                                <a:ln w="15672">
                                  <a:solidFill>
                                    <a:srgbClr val="A8A4A4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3.422874pt;margin-top:9.293533pt;width:22.25pt;height:1.25pt;mso-position-horizontal-relative:column;mso-position-vertical-relative:paragraph;z-index:-18100736" id="docshapegroup202" coordorigin="2468,186" coordsize="445,25">
                      <v:line style="position:absolute" from="2468,198" to="2913,198" stroked="true" strokeweight="1.234094pt" strokecolor="#a8a4a4">
                        <v:stroke dashstyle="longdash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95"/>
                <w:sz w:val="13"/>
              </w:rPr>
              <w:t>Δείκτης</w:t>
            </w:r>
            <w:r>
              <w:rPr>
                <w:spacing w:val="-9"/>
                <w:w w:val="95"/>
                <w:sz w:val="13"/>
              </w:rPr>
              <w:t> </w:t>
            </w:r>
            <w:r>
              <w:rPr>
                <w:spacing w:val="-5"/>
                <w:sz w:val="13"/>
              </w:rPr>
              <w:t>ΜΕΑ</w:t>
            </w:r>
            <w:r>
              <w:rPr>
                <w:sz w:val="13"/>
              </w:rPr>
              <w:tab/>
            </w:r>
            <w:r>
              <w:rPr>
                <w:w w:val="90"/>
                <w:sz w:val="13"/>
              </w:rPr>
              <w:t>Δείκτης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κάλυψης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5"/>
                <w:w w:val="90"/>
                <w:sz w:val="13"/>
              </w:rPr>
              <w:t>ΜΕΑ</w:t>
            </w:r>
          </w:p>
        </w:tc>
      </w:tr>
    </w:tbl>
    <w:p>
      <w:pPr>
        <w:pStyle w:val="BodyText"/>
        <w:spacing w:before="127"/>
      </w:pPr>
    </w:p>
    <w:p>
      <w:pPr>
        <w:pStyle w:val="Heading3"/>
        <w:spacing w:before="0"/>
        <w:ind w:left="669"/>
      </w:pPr>
      <w:r>
        <w:rPr/>
        <w:t>Μεταβολή</w:t>
      </w:r>
      <w:r>
        <w:rPr>
          <w:spacing w:val="-4"/>
        </w:rPr>
        <w:t> </w:t>
      </w:r>
      <w:r>
        <w:rPr/>
        <w:t>ΜΕΑ</w:t>
      </w:r>
      <w:r>
        <w:rPr>
          <w:spacing w:val="-4"/>
        </w:rPr>
        <w:t> </w:t>
      </w:r>
      <w:r>
        <w:rPr>
          <w:spacing w:val="-2"/>
        </w:rPr>
        <w:t>(Όμιλος)</w:t>
      </w:r>
    </w:p>
    <w:tbl>
      <w:tblPr>
        <w:tblW w:w="0" w:type="auto"/>
        <w:jc w:val="left"/>
        <w:tblInd w:w="567" w:type="dxa"/>
        <w:tblBorders>
          <w:top w:val="single" w:sz="4" w:space="0" w:color="4374B8"/>
          <w:left w:val="single" w:sz="4" w:space="0" w:color="4374B8"/>
          <w:bottom w:val="single" w:sz="4" w:space="0" w:color="4374B8"/>
          <w:right w:val="single" w:sz="4" w:space="0" w:color="4374B8"/>
          <w:insideH w:val="single" w:sz="4" w:space="0" w:color="4374B8"/>
          <w:insideV w:val="single" w:sz="4" w:space="0" w:color="4374B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1"/>
        <w:gridCol w:w="7906"/>
        <w:gridCol w:w="457"/>
      </w:tblGrid>
      <w:tr>
        <w:trPr>
          <w:trHeight w:val="475" w:hRule="atLeast"/>
        </w:trPr>
        <w:tc>
          <w:tcPr>
            <w:tcW w:w="1591" w:type="dxa"/>
            <w:tcBorders>
              <w:bottom w:val="nil"/>
              <w:right w:val="dashSmallGap" w:sz="4" w:space="0" w:color="11366B"/>
            </w:tcBorders>
          </w:tcPr>
          <w:p>
            <w:pPr>
              <w:pStyle w:val="TableParagraph"/>
              <w:spacing w:before="61"/>
              <w:ind w:left="204"/>
              <w:rPr>
                <w:rFonts w:ascii="Tahoma" w:hAnsi="Tahoma"/>
                <w:b/>
                <w:sz w:val="11"/>
              </w:rPr>
            </w:pPr>
            <w:r>
              <w:rPr>
                <w:rFonts w:ascii="Tahoma" w:hAnsi="Tahoma"/>
                <w:b/>
                <w:color w:val="11366B"/>
                <w:w w:val="105"/>
                <w:sz w:val="11"/>
              </w:rPr>
              <w:t>Δείκτης</w:t>
            </w:r>
            <w:r>
              <w:rPr>
                <w:rFonts w:ascii="Tahoma" w:hAnsi="Tahoma"/>
                <w:b/>
                <w:color w:val="11366B"/>
                <w:spacing w:val="2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color w:val="11366B"/>
                <w:w w:val="105"/>
                <w:sz w:val="11"/>
              </w:rPr>
              <w:t>ΜΕΑ</w:t>
            </w:r>
            <w:r>
              <w:rPr>
                <w:rFonts w:ascii="Tahoma" w:hAnsi="Tahoma"/>
                <w:b/>
                <w:color w:val="11366B"/>
                <w:spacing w:val="3"/>
                <w:w w:val="105"/>
                <w:sz w:val="11"/>
              </w:rPr>
              <w:t> </w:t>
            </w:r>
            <w:r>
              <w:rPr>
                <w:rFonts w:ascii="Tahoma" w:hAnsi="Tahoma"/>
                <w:b/>
                <w:color w:val="11366B"/>
                <w:spacing w:val="-2"/>
                <w:w w:val="105"/>
                <w:sz w:val="11"/>
              </w:rPr>
              <w:t>(Όμιλος)</w:t>
            </w:r>
          </w:p>
          <w:p>
            <w:pPr>
              <w:pStyle w:val="TableParagraph"/>
              <w:spacing w:before="81"/>
              <w:ind w:left="182" w:right="-15"/>
              <w:rPr>
                <w:rFonts w:ascii="Tahoma" w:hAnsi="Tahoma"/>
                <w:b/>
                <w:sz w:val="11"/>
              </w:rPr>
            </w:pPr>
            <w:r>
              <w:rPr>
                <w:rFonts w:ascii="Tahoma" w:hAnsi="Tahoma"/>
                <w:b/>
                <w:color w:val="11366B"/>
                <w:sz w:val="11"/>
              </w:rPr>
              <w:t>Δείκτης</w:t>
            </w:r>
            <w:r>
              <w:rPr>
                <w:rFonts w:ascii="Tahoma" w:hAnsi="Tahoma"/>
                <w:b/>
                <w:color w:val="11366B"/>
                <w:spacing w:val="18"/>
                <w:sz w:val="11"/>
              </w:rPr>
              <w:t> </w:t>
            </w:r>
            <w:r>
              <w:rPr>
                <w:rFonts w:ascii="Tahoma" w:hAnsi="Tahoma"/>
                <w:b/>
                <w:color w:val="11366B"/>
                <w:spacing w:val="-2"/>
                <w:sz w:val="11"/>
              </w:rPr>
              <w:t>Καθυστερήσεων</w:t>
            </w:r>
          </w:p>
        </w:tc>
        <w:tc>
          <w:tcPr>
            <w:tcW w:w="7906" w:type="dxa"/>
            <w:tcBorders>
              <w:top w:val="single" w:sz="8" w:space="0" w:color="4374B8"/>
              <w:left w:val="dashSmallGap" w:sz="4" w:space="0" w:color="11366B"/>
              <w:bottom w:val="dashSmallGap" w:sz="4" w:space="0" w:color="11366B"/>
              <w:right w:val="dashSmallGap" w:sz="4" w:space="0" w:color="11366B"/>
            </w:tcBorders>
          </w:tcPr>
          <w:p>
            <w:pPr>
              <w:pStyle w:val="TableParagraph"/>
              <w:tabs>
                <w:tab w:pos="1205" w:val="left" w:leader="none"/>
                <w:tab w:pos="2419" w:val="left" w:leader="none"/>
                <w:tab w:pos="3224" w:val="left" w:leader="none"/>
                <w:tab w:pos="4400" w:val="left" w:leader="none"/>
                <w:tab w:pos="5211" w:val="left" w:leader="none"/>
                <w:tab w:pos="6028" w:val="left" w:leader="none"/>
                <w:tab w:pos="6791" w:val="left" w:leader="none"/>
                <w:tab w:pos="7585" w:val="left" w:leader="none"/>
              </w:tabs>
              <w:spacing w:before="92"/>
              <w:ind w:left="120"/>
              <w:rPr>
                <w:rFonts w:ascii="Tahoma"/>
                <w:b/>
                <w:position w:val="1"/>
                <w:sz w:val="11"/>
              </w:rPr>
            </w:pPr>
            <w:r>
              <w:rPr>
                <w:rFonts w:ascii="Tahoma"/>
                <w:b/>
                <w:color w:val="11366B"/>
                <w:spacing w:val="-4"/>
                <w:sz w:val="11"/>
              </w:rPr>
              <w:t>7.8%</w:t>
            </w:r>
            <w:r>
              <w:rPr>
                <w:rFonts w:ascii="Tahoma"/>
                <w:b/>
                <w:color w:val="11366B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6.0%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3.7%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sz w:val="11"/>
              </w:rPr>
              <w:t>3.7%</w:t>
            </w:r>
            <w:r>
              <w:rPr>
                <w:rFonts w:ascii="Tahoma"/>
                <w:b/>
                <w:color w:val="11366B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3.5%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3.6%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3.6%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3.7%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w w:val="90"/>
                <w:position w:val="1"/>
                <w:sz w:val="11"/>
              </w:rPr>
              <w:t>3.6%</w:t>
            </w:r>
          </w:p>
          <w:p>
            <w:pPr>
              <w:pStyle w:val="TableParagraph"/>
              <w:tabs>
                <w:tab w:pos="1210" w:val="left" w:leader="none"/>
                <w:tab w:pos="2417" w:val="left" w:leader="none"/>
                <w:tab w:pos="3239" w:val="left" w:leader="none"/>
                <w:tab w:pos="4396" w:val="left" w:leader="none"/>
                <w:tab w:pos="5214" w:val="left" w:leader="none"/>
                <w:tab w:pos="6024" w:val="left" w:leader="none"/>
                <w:tab w:pos="6787" w:val="left" w:leader="none"/>
                <w:tab w:pos="7581" w:val="left" w:leader="none"/>
              </w:tabs>
              <w:spacing w:before="35"/>
              <w:ind w:left="122"/>
              <w:rPr>
                <w:rFonts w:ascii="Tahoma"/>
                <w:b/>
                <w:position w:val="1"/>
                <w:sz w:val="11"/>
              </w:rPr>
            </w:pPr>
            <w:r>
              <w:rPr>
                <w:rFonts w:ascii="Tahoma"/>
                <w:b/>
                <w:color w:val="11366B"/>
                <w:spacing w:val="-4"/>
                <w:sz w:val="11"/>
              </w:rPr>
              <w:t>4.1%</w:t>
            </w:r>
            <w:r>
              <w:rPr>
                <w:rFonts w:ascii="Tahoma"/>
                <w:b/>
                <w:color w:val="11366B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3.1%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2.3%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2.3%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2"/>
                <w:sz w:val="11"/>
              </w:rPr>
              <w:t>2.3%</w:t>
            </w:r>
            <w:r>
              <w:rPr>
                <w:rFonts w:ascii="Tahoma"/>
                <w:b/>
                <w:color w:val="11366B"/>
                <w:position w:val="2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2"/>
                <w:sz w:val="11"/>
              </w:rPr>
              <w:t>2.4%</w:t>
            </w:r>
            <w:r>
              <w:rPr>
                <w:rFonts w:ascii="Tahoma"/>
                <w:b/>
                <w:color w:val="11366B"/>
                <w:position w:val="2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2.5%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2.5%</w:t>
            </w:r>
            <w:r>
              <w:rPr>
                <w:rFonts w:ascii="Tahoma"/>
                <w:b/>
                <w:color w:val="11366B"/>
                <w:position w:val="1"/>
                <w:sz w:val="11"/>
              </w:rPr>
              <w:tab/>
            </w:r>
            <w:r>
              <w:rPr>
                <w:rFonts w:ascii="Tahoma"/>
                <w:b/>
                <w:color w:val="11366B"/>
                <w:spacing w:val="-4"/>
                <w:position w:val="1"/>
                <w:sz w:val="11"/>
              </w:rPr>
              <w:t>2.5%</w:t>
            </w:r>
          </w:p>
        </w:tc>
        <w:tc>
          <w:tcPr>
            <w:tcW w:w="457" w:type="dxa"/>
            <w:tcBorders>
              <w:left w:val="dashSmallGap" w:sz="4" w:space="0" w:color="11366B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04" w:hRule="atLeast"/>
        </w:trPr>
        <w:tc>
          <w:tcPr>
            <w:tcW w:w="9954" w:type="dxa"/>
            <w:gridSpan w:val="3"/>
            <w:tcBorders>
              <w:top w:val="nil"/>
            </w:tcBorders>
          </w:tcPr>
          <w:p>
            <w:pPr>
              <w:pStyle w:val="TableParagraph"/>
              <w:spacing w:line="60" w:lineRule="exact"/>
              <w:ind w:left="182"/>
              <w:rPr>
                <w:rFonts w:ascii="Tahoma" w:hAnsi="Tahoma"/>
                <w:b/>
                <w:sz w:val="11"/>
              </w:rPr>
            </w:pPr>
            <w:r>
              <w:rPr>
                <w:rFonts w:ascii="Tahoma" w:hAnsi="Tahoma"/>
                <w:b/>
                <w:color w:val="11366B"/>
                <w:spacing w:val="-2"/>
                <w:sz w:val="11"/>
              </w:rPr>
              <w:t>(Όμιλος)</w:t>
            </w:r>
          </w:p>
          <w:p>
            <w:pPr>
              <w:pStyle w:val="TableParagraph"/>
              <w:tabs>
                <w:tab w:pos="1634" w:val="left" w:leader="none"/>
              </w:tabs>
              <w:spacing w:before="73"/>
              <w:ind w:left="356"/>
              <w:rPr>
                <w:position w:val="7"/>
                <w:sz w:val="11"/>
              </w:rPr>
            </w:pPr>
            <w:r>
              <w:rPr>
                <w:color w:val="808080"/>
                <w:sz w:val="11"/>
              </w:rPr>
              <w:t>ΜΕΑ</w:t>
            </w:r>
            <w:r>
              <w:rPr>
                <w:color w:val="808080"/>
                <w:spacing w:val="1"/>
                <w:sz w:val="11"/>
              </w:rPr>
              <w:t> </w:t>
            </w:r>
            <w:r>
              <w:rPr>
                <w:color w:val="8E8E8E"/>
                <w:sz w:val="11"/>
              </w:rPr>
              <w:t>Ομίλου,</w:t>
            </w:r>
            <w:r>
              <w:rPr>
                <w:color w:val="8E8E8E"/>
                <w:spacing w:val="6"/>
                <w:sz w:val="11"/>
              </w:rPr>
              <w:t> </w:t>
            </w:r>
            <w:r>
              <w:rPr>
                <w:color w:val="8E8E8E"/>
                <w:sz w:val="11"/>
              </w:rPr>
              <w:t>€</w:t>
            </w:r>
            <w:r>
              <w:rPr>
                <w:color w:val="8E8E8E"/>
                <w:spacing w:val="5"/>
                <w:sz w:val="11"/>
              </w:rPr>
              <w:t> </w:t>
            </w:r>
            <w:r>
              <w:rPr>
                <w:color w:val="8E8E8E"/>
                <w:spacing w:val="-4"/>
                <w:sz w:val="11"/>
              </w:rPr>
              <w:t>δισ.</w:t>
            </w:r>
            <w:r>
              <w:rPr>
                <w:color w:val="8E8E8E"/>
                <w:sz w:val="11"/>
              </w:rPr>
              <w:tab/>
            </w:r>
            <w:r>
              <w:rPr>
                <w:spacing w:val="-5"/>
                <w:position w:val="7"/>
                <w:sz w:val="11"/>
              </w:rPr>
              <w:t>3,1</w:t>
            </w:r>
          </w:p>
          <w:p>
            <w:pPr>
              <w:pStyle w:val="TableParagraph"/>
              <w:rPr>
                <w:rFonts w:ascii="Tahoma"/>
                <w:b/>
                <w:sz w:val="11"/>
              </w:rPr>
            </w:pPr>
          </w:p>
          <w:p>
            <w:pPr>
              <w:pStyle w:val="TableParagraph"/>
              <w:spacing w:before="9"/>
              <w:rPr>
                <w:rFonts w:ascii="Tahoma"/>
                <w:b/>
                <w:sz w:val="11"/>
              </w:rPr>
            </w:pPr>
          </w:p>
          <w:p>
            <w:pPr>
              <w:pStyle w:val="TableParagraph"/>
              <w:tabs>
                <w:tab w:pos="839" w:val="left" w:leader="none"/>
              </w:tabs>
              <w:ind w:right="4931"/>
              <w:jc w:val="center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6256">
                      <wp:simplePos x="0" y="0"/>
                      <wp:positionH relativeFrom="column">
                        <wp:posOffset>970482</wp:posOffset>
                      </wp:positionH>
                      <wp:positionV relativeFrom="paragraph">
                        <wp:posOffset>-215630</wp:posOffset>
                      </wp:positionV>
                      <wp:extent cx="5084445" cy="1138555"/>
                      <wp:effectExtent l="0" t="0" r="0" b="0"/>
                      <wp:wrapNone/>
                      <wp:docPr id="220" name="Group 2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0" name="Group 220"/>
                            <wpg:cNvGrpSpPr/>
                            <wpg:grpSpPr>
                              <a:xfrm>
                                <a:off x="0" y="0"/>
                                <a:ext cx="5084445" cy="1138555"/>
                                <a:chExt cx="5084445" cy="1138555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197191" y="12331"/>
                                  <a:ext cx="4688840" cy="645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8840" h="645795">
                                      <a:moveTo>
                                        <a:pt x="762559" y="315534"/>
                                      </a:moveTo>
                                      <a:lnTo>
                                        <a:pt x="875408" y="315534"/>
                                      </a:lnTo>
                                    </a:path>
                                    <a:path w="4688840" h="645795">
                                      <a:moveTo>
                                        <a:pt x="1779885" y="579568"/>
                                      </a:moveTo>
                                      <a:lnTo>
                                        <a:pt x="1892735" y="579568"/>
                                      </a:lnTo>
                                    </a:path>
                                    <a:path w="4688840" h="645795">
                                      <a:moveTo>
                                        <a:pt x="1271222" y="586097"/>
                                      </a:moveTo>
                                      <a:lnTo>
                                        <a:pt x="1384072" y="586097"/>
                                      </a:lnTo>
                                    </a:path>
                                    <a:path w="4688840" h="645795">
                                      <a:moveTo>
                                        <a:pt x="2033906" y="579568"/>
                                      </a:moveTo>
                                      <a:lnTo>
                                        <a:pt x="2146693" y="579568"/>
                                      </a:lnTo>
                                    </a:path>
                                    <a:path w="4688840" h="645795">
                                      <a:moveTo>
                                        <a:pt x="2288549" y="645577"/>
                                      </a:moveTo>
                                      <a:lnTo>
                                        <a:pt x="2401398" y="645577"/>
                                      </a:lnTo>
                                    </a:path>
                                    <a:path w="4688840" h="645795">
                                      <a:moveTo>
                                        <a:pt x="2542507" y="596977"/>
                                      </a:moveTo>
                                      <a:lnTo>
                                        <a:pt x="2654547" y="596977"/>
                                      </a:lnTo>
                                    </a:path>
                                    <a:path w="4688840" h="645795">
                                      <a:moveTo>
                                        <a:pt x="2796465" y="596977"/>
                                      </a:moveTo>
                                      <a:lnTo>
                                        <a:pt x="2909314" y="596977"/>
                                      </a:lnTo>
                                    </a:path>
                                    <a:path w="4688840" h="645795">
                                      <a:moveTo>
                                        <a:pt x="3051170" y="570864"/>
                                      </a:moveTo>
                                      <a:lnTo>
                                        <a:pt x="3164019" y="570864"/>
                                      </a:lnTo>
                                    </a:path>
                                    <a:path w="4688840" h="645795">
                                      <a:moveTo>
                                        <a:pt x="3305190" y="570864"/>
                                      </a:moveTo>
                                      <a:lnTo>
                                        <a:pt x="3417978" y="570864"/>
                                      </a:lnTo>
                                    </a:path>
                                    <a:path w="4688840" h="645795">
                                      <a:moveTo>
                                        <a:pt x="3559833" y="551279"/>
                                      </a:moveTo>
                                      <a:lnTo>
                                        <a:pt x="3671874" y="551279"/>
                                      </a:lnTo>
                                    </a:path>
                                    <a:path w="4688840" h="645795">
                                      <a:moveTo>
                                        <a:pt x="3813791" y="551279"/>
                                      </a:moveTo>
                                      <a:lnTo>
                                        <a:pt x="3926641" y="551279"/>
                                      </a:lnTo>
                                    </a:path>
                                    <a:path w="4688840" h="645795">
                                      <a:moveTo>
                                        <a:pt x="4067750" y="520814"/>
                                      </a:moveTo>
                                      <a:lnTo>
                                        <a:pt x="4180599" y="520814"/>
                                      </a:lnTo>
                                    </a:path>
                                    <a:path w="4688840" h="645795">
                                      <a:moveTo>
                                        <a:pt x="4576413" y="520995"/>
                                      </a:moveTo>
                                      <a:lnTo>
                                        <a:pt x="4688453" y="515736"/>
                                      </a:lnTo>
                                    </a:path>
                                    <a:path w="4688840" h="645795">
                                      <a:moveTo>
                                        <a:pt x="0" y="0"/>
                                      </a:moveTo>
                                      <a:lnTo>
                                        <a:pt x="112787" y="0"/>
                                      </a:lnTo>
                                    </a:path>
                                    <a:path w="4688840" h="645795">
                                      <a:moveTo>
                                        <a:pt x="254705" y="190771"/>
                                      </a:moveTo>
                                      <a:lnTo>
                                        <a:pt x="367492" y="190771"/>
                                      </a:lnTo>
                                    </a:path>
                                    <a:path w="4688840" h="645795">
                                      <a:moveTo>
                                        <a:pt x="509347" y="315534"/>
                                      </a:moveTo>
                                      <a:lnTo>
                                        <a:pt x="621388" y="315534"/>
                                      </a:lnTo>
                                    </a:path>
                                    <a:path w="4688840" h="645795">
                                      <a:moveTo>
                                        <a:pt x="4322517" y="520995"/>
                                      </a:moveTo>
                                      <a:lnTo>
                                        <a:pt x="4435304" y="515736"/>
                                      </a:lnTo>
                                    </a:path>
                                    <a:path w="4688840" h="645795">
                                      <a:moveTo>
                                        <a:pt x="1017326" y="451178"/>
                                      </a:moveTo>
                                      <a:lnTo>
                                        <a:pt x="1130113" y="451178"/>
                                      </a:lnTo>
                                    </a:path>
                                    <a:path w="4688840" h="645795">
                                      <a:moveTo>
                                        <a:pt x="1525989" y="586097"/>
                                      </a:moveTo>
                                      <a:lnTo>
                                        <a:pt x="1638030" y="586097"/>
                                      </a:lnTo>
                                    </a:path>
                                  </a:pathLst>
                                </a:custGeom>
                                <a:ln w="1533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4632433" y="528067"/>
                                  <a:ext cx="141605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05" h="5080">
                                      <a:moveTo>
                                        <a:pt x="1411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7"/>
                                      </a:lnTo>
                                      <a:lnTo>
                                        <a:pt x="141170" y="5077"/>
                                      </a:lnTo>
                                      <a:lnTo>
                                        <a:pt x="1411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56020" y="12335"/>
                                  <a:ext cx="4972050" cy="112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2050" h="1123950">
                                      <a:moveTo>
                                        <a:pt x="141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23594"/>
                                      </a:lnTo>
                                      <a:lnTo>
                                        <a:pt x="141160" y="1123594"/>
                                      </a:lnTo>
                                      <a:lnTo>
                                        <a:pt x="141160" y="0"/>
                                      </a:lnTo>
                                      <a:close/>
                                    </a:path>
                                    <a:path w="4972050" h="1123950">
                                      <a:moveTo>
                                        <a:pt x="904468" y="315531"/>
                                      </a:moveTo>
                                      <a:lnTo>
                                        <a:pt x="762558" y="315531"/>
                                      </a:lnTo>
                                      <a:lnTo>
                                        <a:pt x="762558" y="1123594"/>
                                      </a:lnTo>
                                      <a:lnTo>
                                        <a:pt x="904468" y="1123594"/>
                                      </a:lnTo>
                                      <a:lnTo>
                                        <a:pt x="904468" y="315531"/>
                                      </a:lnTo>
                                      <a:close/>
                                    </a:path>
                                    <a:path w="4972050" h="1123950">
                                      <a:moveTo>
                                        <a:pt x="1667154" y="586092"/>
                                      </a:moveTo>
                                      <a:lnTo>
                                        <a:pt x="1525981" y="586092"/>
                                      </a:lnTo>
                                      <a:lnTo>
                                        <a:pt x="1525981" y="1123594"/>
                                      </a:lnTo>
                                      <a:lnTo>
                                        <a:pt x="1667154" y="1123594"/>
                                      </a:lnTo>
                                      <a:lnTo>
                                        <a:pt x="1667154" y="586092"/>
                                      </a:lnTo>
                                      <a:close/>
                                    </a:path>
                                    <a:path w="4972050" h="1123950">
                                      <a:moveTo>
                                        <a:pt x="2175014" y="578840"/>
                                      </a:moveTo>
                                      <a:lnTo>
                                        <a:pt x="2033841" y="578840"/>
                                      </a:lnTo>
                                      <a:lnTo>
                                        <a:pt x="2033841" y="1123594"/>
                                      </a:lnTo>
                                      <a:lnTo>
                                        <a:pt x="2175014" y="1123594"/>
                                      </a:lnTo>
                                      <a:lnTo>
                                        <a:pt x="2175014" y="578840"/>
                                      </a:lnTo>
                                      <a:close/>
                                    </a:path>
                                    <a:path w="4972050" h="1123950">
                                      <a:moveTo>
                                        <a:pt x="2937624" y="596252"/>
                                      </a:moveTo>
                                      <a:lnTo>
                                        <a:pt x="2796463" y="596252"/>
                                      </a:lnTo>
                                      <a:lnTo>
                                        <a:pt x="2796463" y="1123594"/>
                                      </a:lnTo>
                                      <a:lnTo>
                                        <a:pt x="2937624" y="1123594"/>
                                      </a:lnTo>
                                      <a:lnTo>
                                        <a:pt x="2937624" y="596252"/>
                                      </a:lnTo>
                                      <a:close/>
                                    </a:path>
                                    <a:path w="4972050" h="1123950">
                                      <a:moveTo>
                                        <a:pt x="3446361" y="570865"/>
                                      </a:moveTo>
                                      <a:lnTo>
                                        <a:pt x="3305187" y="570865"/>
                                      </a:lnTo>
                                      <a:lnTo>
                                        <a:pt x="3305187" y="1123594"/>
                                      </a:lnTo>
                                      <a:lnTo>
                                        <a:pt x="3446361" y="1123594"/>
                                      </a:lnTo>
                                      <a:lnTo>
                                        <a:pt x="3446361" y="570865"/>
                                      </a:lnTo>
                                      <a:close/>
                                    </a:path>
                                    <a:path w="4972050" h="1123950">
                                      <a:moveTo>
                                        <a:pt x="3954957" y="551281"/>
                                      </a:moveTo>
                                      <a:lnTo>
                                        <a:pt x="3813784" y="551281"/>
                                      </a:lnTo>
                                      <a:lnTo>
                                        <a:pt x="3813784" y="1123594"/>
                                      </a:lnTo>
                                      <a:lnTo>
                                        <a:pt x="3954957" y="1123594"/>
                                      </a:lnTo>
                                      <a:lnTo>
                                        <a:pt x="3954957" y="551281"/>
                                      </a:lnTo>
                                      <a:close/>
                                    </a:path>
                                    <a:path w="4972050" h="1123950">
                                      <a:moveTo>
                                        <a:pt x="4463618" y="520814"/>
                                      </a:moveTo>
                                      <a:lnTo>
                                        <a:pt x="4322445" y="520814"/>
                                      </a:lnTo>
                                      <a:lnTo>
                                        <a:pt x="4322445" y="1123594"/>
                                      </a:lnTo>
                                      <a:lnTo>
                                        <a:pt x="4463618" y="1123594"/>
                                      </a:lnTo>
                                      <a:lnTo>
                                        <a:pt x="4463618" y="520814"/>
                                      </a:lnTo>
                                      <a:close/>
                                    </a:path>
                                    <a:path w="4972050" h="1123950">
                                      <a:moveTo>
                                        <a:pt x="4971542" y="515734"/>
                                      </a:moveTo>
                                      <a:lnTo>
                                        <a:pt x="4830369" y="515734"/>
                                      </a:lnTo>
                                      <a:lnTo>
                                        <a:pt x="4830369" y="1123594"/>
                                      </a:lnTo>
                                      <a:lnTo>
                                        <a:pt x="4971542" y="1123594"/>
                                      </a:lnTo>
                                      <a:lnTo>
                                        <a:pt x="4971542" y="515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2C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310718" y="12335"/>
                                  <a:ext cx="4463415" cy="645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63415" h="645795">
                                      <a:moveTo>
                                        <a:pt x="1411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779"/>
                                      </a:lnTo>
                                      <a:lnTo>
                                        <a:pt x="141173" y="190779"/>
                                      </a:lnTo>
                                      <a:lnTo>
                                        <a:pt x="141173" y="0"/>
                                      </a:lnTo>
                                      <a:close/>
                                    </a:path>
                                    <a:path w="4463415" h="645795">
                                      <a:moveTo>
                                        <a:pt x="903795" y="315531"/>
                                      </a:moveTo>
                                      <a:lnTo>
                                        <a:pt x="762622" y="315531"/>
                                      </a:lnTo>
                                      <a:lnTo>
                                        <a:pt x="762622" y="450456"/>
                                      </a:lnTo>
                                      <a:lnTo>
                                        <a:pt x="903795" y="450456"/>
                                      </a:lnTo>
                                      <a:lnTo>
                                        <a:pt x="903795" y="315531"/>
                                      </a:lnTo>
                                      <a:close/>
                                    </a:path>
                                    <a:path w="4463415" h="645795">
                                      <a:moveTo>
                                        <a:pt x="2175078" y="578840"/>
                                      </a:moveTo>
                                      <a:lnTo>
                                        <a:pt x="2033905" y="578840"/>
                                      </a:lnTo>
                                      <a:lnTo>
                                        <a:pt x="2033905" y="645579"/>
                                      </a:lnTo>
                                      <a:lnTo>
                                        <a:pt x="2175078" y="645579"/>
                                      </a:lnTo>
                                      <a:lnTo>
                                        <a:pt x="2175078" y="578840"/>
                                      </a:lnTo>
                                      <a:close/>
                                    </a:path>
                                    <a:path w="4463415" h="645795">
                                      <a:moveTo>
                                        <a:pt x="4462881" y="515734"/>
                                      </a:moveTo>
                                      <a:lnTo>
                                        <a:pt x="4321708" y="515734"/>
                                      </a:lnTo>
                                      <a:lnTo>
                                        <a:pt x="4321708" y="520814"/>
                                      </a:lnTo>
                                      <a:lnTo>
                                        <a:pt x="4462881" y="520814"/>
                                      </a:lnTo>
                                      <a:lnTo>
                                        <a:pt x="4462881" y="515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564680" y="203114"/>
                                  <a:ext cx="3700779" cy="455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0779" h="455295">
                                      <a:moveTo>
                                        <a:pt x="1411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4752"/>
                                      </a:lnTo>
                                      <a:lnTo>
                                        <a:pt x="141173" y="124752"/>
                                      </a:lnTo>
                                      <a:lnTo>
                                        <a:pt x="141173" y="0"/>
                                      </a:lnTo>
                                      <a:close/>
                                    </a:path>
                                    <a:path w="3700779" h="455295">
                                      <a:moveTo>
                                        <a:pt x="903732" y="259676"/>
                                      </a:moveTo>
                                      <a:lnTo>
                                        <a:pt x="762558" y="259676"/>
                                      </a:lnTo>
                                      <a:lnTo>
                                        <a:pt x="762558" y="395325"/>
                                      </a:lnTo>
                                      <a:lnTo>
                                        <a:pt x="903732" y="395325"/>
                                      </a:lnTo>
                                      <a:lnTo>
                                        <a:pt x="903732" y="259676"/>
                                      </a:lnTo>
                                      <a:close/>
                                    </a:path>
                                    <a:path w="3700779" h="455295">
                                      <a:moveTo>
                                        <a:pt x="1412455" y="388061"/>
                                      </a:moveTo>
                                      <a:lnTo>
                                        <a:pt x="1271282" y="388061"/>
                                      </a:lnTo>
                                      <a:lnTo>
                                        <a:pt x="1271282" y="395325"/>
                                      </a:lnTo>
                                      <a:lnTo>
                                        <a:pt x="1412455" y="395325"/>
                                      </a:lnTo>
                                      <a:lnTo>
                                        <a:pt x="1412455" y="388061"/>
                                      </a:lnTo>
                                      <a:close/>
                                    </a:path>
                                    <a:path w="3700779" h="455295">
                                      <a:moveTo>
                                        <a:pt x="2175014" y="405472"/>
                                      </a:moveTo>
                                      <a:lnTo>
                                        <a:pt x="2033841" y="405472"/>
                                      </a:lnTo>
                                      <a:lnTo>
                                        <a:pt x="2033841" y="454799"/>
                                      </a:lnTo>
                                      <a:lnTo>
                                        <a:pt x="2175014" y="454799"/>
                                      </a:lnTo>
                                      <a:lnTo>
                                        <a:pt x="2175014" y="405472"/>
                                      </a:lnTo>
                                      <a:close/>
                                    </a:path>
                                    <a:path w="3700779" h="455295">
                                      <a:moveTo>
                                        <a:pt x="2683675" y="380085"/>
                                      </a:moveTo>
                                      <a:lnTo>
                                        <a:pt x="2542502" y="380085"/>
                                      </a:lnTo>
                                      <a:lnTo>
                                        <a:pt x="2542502" y="405472"/>
                                      </a:lnTo>
                                      <a:lnTo>
                                        <a:pt x="2683675" y="405472"/>
                                      </a:lnTo>
                                      <a:lnTo>
                                        <a:pt x="2683675" y="380085"/>
                                      </a:lnTo>
                                      <a:close/>
                                    </a:path>
                                    <a:path w="3700779" h="455295">
                                      <a:moveTo>
                                        <a:pt x="3192335" y="360502"/>
                                      </a:moveTo>
                                      <a:lnTo>
                                        <a:pt x="3050425" y="360502"/>
                                      </a:lnTo>
                                      <a:lnTo>
                                        <a:pt x="3050425" y="380085"/>
                                      </a:lnTo>
                                      <a:lnTo>
                                        <a:pt x="3192335" y="380085"/>
                                      </a:lnTo>
                                      <a:lnTo>
                                        <a:pt x="3192335" y="360502"/>
                                      </a:lnTo>
                                      <a:close/>
                                    </a:path>
                                    <a:path w="3700779" h="455295">
                                      <a:moveTo>
                                        <a:pt x="3700259" y="330034"/>
                                      </a:moveTo>
                                      <a:lnTo>
                                        <a:pt x="3559086" y="330034"/>
                                      </a:lnTo>
                                      <a:lnTo>
                                        <a:pt x="3559086" y="360502"/>
                                      </a:lnTo>
                                      <a:lnTo>
                                        <a:pt x="3700259" y="360502"/>
                                      </a:lnTo>
                                      <a:lnTo>
                                        <a:pt x="3700259" y="3300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9FD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0" y="1135919"/>
                                  <a:ext cx="5084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4445" h="0">
                                      <a:moveTo>
                                        <a:pt x="0" y="0"/>
                                      </a:moveTo>
                                      <a:lnTo>
                                        <a:pt x="5084329" y="0"/>
                                      </a:lnTo>
                                    </a:path>
                                  </a:pathLst>
                                </a:custGeom>
                                <a:ln w="45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126979" y="0"/>
                                  <a:ext cx="4577080" cy="671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7080" h="671195">
                                      <a:moveTo>
                                        <a:pt x="0" y="0"/>
                                      </a:moveTo>
                                      <a:lnTo>
                                        <a:pt x="0" y="48357"/>
                                      </a:lnTo>
                                    </a:path>
                                    <a:path w="4577080" h="671195">
                                      <a:moveTo>
                                        <a:pt x="3559086" y="595647"/>
                                      </a:moveTo>
                                      <a:lnTo>
                                        <a:pt x="3559149" y="573765"/>
                                      </a:lnTo>
                                    </a:path>
                                    <a:path w="4577080" h="671195">
                                      <a:moveTo>
                                        <a:pt x="253958" y="215192"/>
                                      </a:moveTo>
                                      <a:lnTo>
                                        <a:pt x="253958" y="166834"/>
                                      </a:lnTo>
                                    </a:path>
                                    <a:path w="4577080" h="671195">
                                      <a:moveTo>
                                        <a:pt x="1271222" y="610517"/>
                                      </a:moveTo>
                                      <a:lnTo>
                                        <a:pt x="1271284" y="562160"/>
                                      </a:lnTo>
                                    </a:path>
                                    <a:path w="4577080" h="671195">
                                      <a:moveTo>
                                        <a:pt x="2542507" y="670239"/>
                                      </a:moveTo>
                                      <a:lnTo>
                                        <a:pt x="2542569" y="633971"/>
                                      </a:lnTo>
                                    </a:path>
                                    <a:path w="4577080" h="671195">
                                      <a:moveTo>
                                        <a:pt x="508663" y="339955"/>
                                      </a:moveTo>
                                      <a:lnTo>
                                        <a:pt x="508663" y="291597"/>
                                      </a:lnTo>
                                    </a:path>
                                    <a:path w="4577080" h="671195">
                                      <a:moveTo>
                                        <a:pt x="3050423" y="621156"/>
                                      </a:moveTo>
                                      <a:lnTo>
                                        <a:pt x="3050485" y="596252"/>
                                      </a:lnTo>
                                    </a:path>
                                    <a:path w="4577080" h="671195">
                                      <a:moveTo>
                                        <a:pt x="2287802" y="670602"/>
                                      </a:moveTo>
                                      <a:lnTo>
                                        <a:pt x="2287864" y="625267"/>
                                      </a:lnTo>
                                    </a:path>
                                    <a:path w="4577080" h="671195">
                                      <a:moveTo>
                                        <a:pt x="1016579" y="475599"/>
                                      </a:moveTo>
                                      <a:lnTo>
                                        <a:pt x="1016579" y="427241"/>
                                      </a:lnTo>
                                    </a:path>
                                    <a:path w="4577080" h="671195">
                                      <a:moveTo>
                                        <a:pt x="4067003" y="575579"/>
                                      </a:moveTo>
                                      <a:lnTo>
                                        <a:pt x="4067065" y="548378"/>
                                      </a:lnTo>
                                    </a:path>
                                    <a:path w="4577080" h="671195">
                                      <a:moveTo>
                                        <a:pt x="4576413" y="545295"/>
                                      </a:moveTo>
                                      <a:lnTo>
                                        <a:pt x="4576475" y="530969"/>
                                      </a:lnTo>
                                    </a:path>
                                    <a:path w="4577080" h="671195">
                                      <a:moveTo>
                                        <a:pt x="1779138" y="610638"/>
                                      </a:moveTo>
                                      <a:lnTo>
                                        <a:pt x="1779201" y="595526"/>
                                      </a:lnTo>
                                    </a:path>
                                  </a:pathLst>
                                </a:custGeom>
                                <a:ln w="30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6.415977pt;margin-top:-16.978748pt;width:400.35pt;height:89.65pt;mso-position-horizontal-relative:column;mso-position-vertical-relative:paragraph;z-index:-18100224" id="docshapegroup203" coordorigin="1528,-340" coordsize="8007,1793">
                      <v:shape style="position:absolute;left:1838;top:-321;width:7384;height:1017" id="docshape204" coordorigin="1839,-320" coordsize="7384,1017" path="m3040,177l3217,177m4642,593l4820,593m3841,603l4018,603m5042,593l5219,593m5443,697l5621,697m5843,620l6019,620m6243,620l6420,620m6644,579l6822,579m7044,579l7221,579m7445,548l7621,548m7845,548l8023,548m8245,500l8422,500m9046,500l9222,492m1839,-320l2016,-320m2240,-20l2418,-20m2641,177l2817,177m8646,500l8824,492m3441,390l3619,390m4242,603l4418,603e" filled="false" stroked="true" strokeweight=".12076pt" strokecolor="#000000">
                        <v:path arrowok="t"/>
                        <v:stroke dashstyle="longdash"/>
                      </v:shape>
                      <v:rect style="position:absolute;left:8823;top:492;width:223;height:8" id="docshape205" filled="true" fillcolor="#c5d9f0" stroked="false">
                        <v:fill type="solid"/>
                      </v:rect>
                      <v:shape style="position:absolute;left:1616;top:-321;width:7830;height:1770" id="docshape206" coordorigin="1617,-320" coordsize="7830,1770" path="m1839,-320l1617,-320,1617,1449,1839,1449,1839,-320xm3041,177l2817,177,2817,1449,3041,1449,3041,177xm4242,603l4020,603,4020,1449,4242,1449,4242,603xm5042,591l4819,591,4819,1449,5042,1449,5042,591xm6243,619l6020,619,6020,1449,6243,1449,6243,619xm7044,579l6822,579,6822,1449,7044,1449,7044,579xm7845,548l7623,548,7623,1449,7845,1449,7845,548xm8646,500l8424,500,8424,1449,8646,1449,8646,500xm9446,492l9223,492,9223,1449,9446,1449,9446,492xe" filled="true" fillcolor="#5b92c9" stroked="false">
                        <v:path arrowok="t"/>
                        <v:fill type="solid"/>
                      </v:shape>
                      <v:shape style="position:absolute;left:2017;top:-321;width:7029;height:1017" id="docshape207" coordorigin="2018,-320" coordsize="7029,1017" path="m2240,-320l2018,-320,2018,-20,2240,-20,2240,-320xm3441,177l3219,177,3219,389,3441,389,3441,177xm5443,591l5221,591,5221,697,5443,697,5443,591xm9046,492l8823,492,8823,500,9046,500,9046,492xe" filled="true" fillcolor="#c5d9f0" stroked="false">
                        <v:path arrowok="t"/>
                        <v:fill type="solid"/>
                      </v:shape>
                      <v:shape style="position:absolute;left:2417;top:-20;width:5828;height:717" id="docshape208" coordorigin="2418,-20" coordsize="5828,717" path="m2640,-20l2418,-20,2418,177,2640,177,2640,-20xm3841,389l3618,389,3618,603,3841,603,3841,389xm4642,591l4420,591,4420,603,4642,603,4642,591xm5843,619l5620,619,5620,697,5843,697,5843,619xm6644,579l6422,579,6422,619,6644,619,6644,579xm7445,548l7221,548,7221,579,7445,579,7445,548xm8245,500l8022,500,8022,548,8245,548,8245,500xe" filled="true" fillcolor="#1d9fda" stroked="false">
                        <v:path arrowok="t"/>
                        <v:fill type="solid"/>
                      </v:shape>
                      <v:line style="position:absolute" from="1528,1449" to="9535,1449" stroked="true" strokeweight=".356972pt" strokecolor="#000000">
                        <v:stroke dashstyle="solid"/>
                      </v:line>
                      <v:shape style="position:absolute;left:1728;top:-340;width:7208;height:1057" id="docshape209" coordorigin="1728,-340" coordsize="7208,1057" path="m1728,-340l1728,-263m7333,598l7333,564m2128,-1l2128,-77m3730,622l3730,546m5732,716l5732,659m2529,196l2529,120m6532,639l6532,599m5331,716l5331,645m3329,409l3329,333m8133,567l8133,524m8935,519l8935,497m4530,622l4530,598e" filled="false" stroked="true" strokeweight=".2415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95"/>
                <w:sz w:val="11"/>
              </w:rPr>
              <w:t>(0,5)</w:t>
            </w:r>
            <w:r>
              <w:rPr>
                <w:sz w:val="11"/>
              </w:rPr>
              <w:tab/>
            </w:r>
            <w:r>
              <w:rPr>
                <w:spacing w:val="-5"/>
                <w:w w:val="95"/>
                <w:position w:val="-1"/>
                <w:sz w:val="11"/>
              </w:rPr>
              <w:t>2,2</w:t>
            </w:r>
          </w:p>
          <w:p>
            <w:pPr>
              <w:pStyle w:val="TableParagraph"/>
              <w:spacing w:before="43"/>
              <w:ind w:right="4883"/>
              <w:jc w:val="center"/>
              <w:rPr>
                <w:sz w:val="11"/>
              </w:rPr>
            </w:pPr>
            <w:r>
              <w:rPr>
                <w:spacing w:val="-2"/>
                <w:w w:val="95"/>
                <w:sz w:val="11"/>
              </w:rPr>
              <w:t>(0,3)</w:t>
            </w:r>
          </w:p>
          <w:p>
            <w:pPr>
              <w:pStyle w:val="TableParagraph"/>
              <w:tabs>
                <w:tab w:pos="3513" w:val="left" w:leader="none"/>
                <w:tab w:pos="4314" w:val="left" w:leader="none"/>
                <w:tab w:pos="5515" w:val="left" w:leader="none"/>
                <w:tab w:pos="6316" w:val="left" w:leader="none"/>
                <w:tab w:pos="7116" w:val="left" w:leader="none"/>
                <w:tab w:pos="7918" w:val="left" w:leader="none"/>
                <w:tab w:pos="8718" w:val="left" w:leader="none"/>
              </w:tabs>
              <w:spacing w:line="217" w:lineRule="exact" w:before="9"/>
              <w:ind w:left="2673"/>
              <w:jc w:val="center"/>
              <w:rPr>
                <w:position w:val="7"/>
                <w:sz w:val="11"/>
              </w:rPr>
            </w:pPr>
            <w:r>
              <w:rPr>
                <w:spacing w:val="-2"/>
                <w:sz w:val="11"/>
              </w:rPr>
              <w:t>(0,4)</w:t>
            </w:r>
            <w:r>
              <w:rPr>
                <w:sz w:val="11"/>
              </w:rPr>
              <w:tab/>
            </w:r>
            <w:r>
              <w:rPr>
                <w:spacing w:val="-5"/>
                <w:position w:val="-3"/>
                <w:sz w:val="11"/>
              </w:rPr>
              <w:t>1,5</w:t>
            </w:r>
            <w:r>
              <w:rPr>
                <w:position w:val="-3"/>
                <w:sz w:val="11"/>
              </w:rPr>
              <w:tab/>
            </w:r>
            <w:r>
              <w:rPr>
                <w:spacing w:val="-5"/>
                <w:position w:val="-2"/>
                <w:sz w:val="11"/>
              </w:rPr>
              <w:t>1,5</w:t>
            </w:r>
            <w:r>
              <w:rPr>
                <w:position w:val="-2"/>
                <w:sz w:val="11"/>
              </w:rPr>
              <w:tab/>
            </w:r>
            <w:r>
              <w:rPr>
                <w:spacing w:val="-5"/>
                <w:position w:val="-4"/>
                <w:sz w:val="11"/>
              </w:rPr>
              <w:t>1,5</w:t>
            </w:r>
            <w:r>
              <w:rPr>
                <w:position w:val="-4"/>
                <w:sz w:val="11"/>
              </w:rPr>
              <w:tab/>
            </w:r>
            <w:r>
              <w:rPr>
                <w:spacing w:val="-5"/>
                <w:position w:val="0"/>
                <w:sz w:val="11"/>
              </w:rPr>
              <w:t>1,5</w:t>
            </w:r>
            <w:r>
              <w:rPr>
                <w:position w:val="0"/>
                <w:sz w:val="11"/>
              </w:rPr>
              <w:tab/>
            </w:r>
            <w:r>
              <w:rPr>
                <w:spacing w:val="-5"/>
                <w:position w:val="2"/>
                <w:sz w:val="11"/>
              </w:rPr>
              <w:t>1,6</w:t>
            </w:r>
            <w:r>
              <w:rPr>
                <w:position w:val="2"/>
                <w:sz w:val="11"/>
              </w:rPr>
              <w:tab/>
            </w:r>
            <w:r>
              <w:rPr>
                <w:spacing w:val="-5"/>
                <w:position w:val="6"/>
                <w:sz w:val="11"/>
              </w:rPr>
              <w:t>1,7</w:t>
            </w:r>
            <w:r>
              <w:rPr>
                <w:position w:val="6"/>
                <w:sz w:val="11"/>
              </w:rPr>
              <w:tab/>
            </w:r>
            <w:r>
              <w:rPr>
                <w:spacing w:val="-5"/>
                <w:position w:val="7"/>
                <w:sz w:val="11"/>
              </w:rPr>
              <w:t>1,7</w:t>
            </w:r>
          </w:p>
          <w:p>
            <w:pPr>
              <w:pStyle w:val="TableParagraph"/>
              <w:tabs>
                <w:tab w:pos="3514" w:val="left" w:leader="none"/>
                <w:tab w:pos="5516" w:val="left" w:leader="none"/>
                <w:tab w:pos="6317" w:val="left" w:leader="none"/>
                <w:tab w:pos="7118" w:val="left" w:leader="none"/>
                <w:tab w:pos="7919" w:val="left" w:leader="none"/>
              </w:tabs>
              <w:spacing w:line="189" w:lineRule="exact"/>
              <w:ind w:left="2674"/>
              <w:jc w:val="center"/>
              <w:rPr>
                <w:position w:val="12"/>
                <w:sz w:val="11"/>
              </w:rPr>
            </w:pPr>
            <w:r>
              <w:rPr>
                <w:spacing w:val="-2"/>
                <w:position w:val="2"/>
                <w:sz w:val="11"/>
              </w:rPr>
              <w:t>(0,4)</w:t>
            </w:r>
            <w:r>
              <w:rPr>
                <w:position w:val="2"/>
                <w:sz w:val="11"/>
              </w:rPr>
              <w:tab/>
            </w:r>
            <w:r>
              <w:rPr>
                <w:spacing w:val="-5"/>
                <w:position w:val="2"/>
                <w:sz w:val="11"/>
              </w:rPr>
              <w:t>0,0</w:t>
            </w:r>
            <w:r>
              <w:rPr>
                <w:position w:val="2"/>
                <w:sz w:val="11"/>
              </w:rPr>
              <w:tab/>
            </w:r>
            <w:r>
              <w:rPr>
                <w:spacing w:val="-5"/>
                <w:sz w:val="11"/>
              </w:rPr>
              <w:t>0,1</w:t>
            </w:r>
            <w:r>
              <w:rPr>
                <w:sz w:val="11"/>
              </w:rPr>
              <w:tab/>
            </w:r>
            <w:r>
              <w:rPr>
                <w:spacing w:val="-5"/>
                <w:position w:val="4"/>
                <w:sz w:val="11"/>
              </w:rPr>
              <w:t>0,1</w:t>
            </w:r>
            <w:r>
              <w:rPr>
                <w:position w:val="4"/>
                <w:sz w:val="11"/>
              </w:rPr>
              <w:tab/>
            </w:r>
            <w:r>
              <w:rPr>
                <w:spacing w:val="-5"/>
                <w:position w:val="7"/>
                <w:sz w:val="11"/>
              </w:rPr>
              <w:t>0,1</w:t>
            </w:r>
            <w:r>
              <w:rPr>
                <w:position w:val="7"/>
                <w:sz w:val="11"/>
              </w:rPr>
              <w:tab/>
            </w:r>
            <w:r>
              <w:rPr>
                <w:spacing w:val="-5"/>
                <w:position w:val="12"/>
                <w:sz w:val="11"/>
              </w:rPr>
              <w:t>0,0</w:t>
            </w:r>
          </w:p>
          <w:p>
            <w:pPr>
              <w:pStyle w:val="TableParagraph"/>
              <w:spacing w:line="106" w:lineRule="exact"/>
              <w:ind w:left="1073"/>
              <w:jc w:val="center"/>
              <w:rPr>
                <w:sz w:val="11"/>
              </w:rPr>
            </w:pPr>
            <w:r>
              <w:rPr>
                <w:w w:val="95"/>
                <w:sz w:val="11"/>
              </w:rPr>
              <w:t>(0,2)</w:t>
            </w:r>
            <w:r>
              <w:rPr>
                <w:spacing w:val="46"/>
                <w:sz w:val="11"/>
              </w:rPr>
              <w:t>  </w:t>
            </w:r>
            <w:r>
              <w:rPr>
                <w:spacing w:val="-5"/>
                <w:w w:val="95"/>
                <w:sz w:val="11"/>
              </w:rPr>
              <w:t>0,1</w:t>
            </w:r>
          </w:p>
          <w:p>
            <w:pPr>
              <w:pStyle w:val="TableParagraph"/>
              <w:rPr>
                <w:rFonts w:ascii="Tahoma"/>
                <w:b/>
                <w:sz w:val="11"/>
              </w:rPr>
            </w:pPr>
          </w:p>
          <w:p>
            <w:pPr>
              <w:pStyle w:val="TableParagraph"/>
              <w:rPr>
                <w:rFonts w:ascii="Tahoma"/>
                <w:b/>
                <w:sz w:val="11"/>
              </w:rPr>
            </w:pPr>
          </w:p>
          <w:p>
            <w:pPr>
              <w:pStyle w:val="TableParagraph"/>
              <w:rPr>
                <w:rFonts w:ascii="Tahoma"/>
                <w:b/>
                <w:sz w:val="11"/>
              </w:rPr>
            </w:pPr>
          </w:p>
          <w:p>
            <w:pPr>
              <w:pStyle w:val="TableParagraph"/>
              <w:spacing w:before="102"/>
              <w:rPr>
                <w:rFonts w:ascii="Tahoma"/>
                <w:b/>
                <w:sz w:val="11"/>
              </w:rPr>
            </w:pPr>
          </w:p>
          <w:p>
            <w:pPr>
              <w:pStyle w:val="TableParagraph"/>
              <w:tabs>
                <w:tab w:pos="3072" w:val="left" w:leader="none"/>
                <w:tab w:pos="4283" w:val="left" w:leader="none"/>
                <w:tab w:pos="5074" w:val="left" w:leader="none"/>
                <w:tab w:pos="6352" w:val="left" w:leader="none"/>
                <w:tab w:pos="6774" w:val="left" w:leader="none"/>
                <w:tab w:pos="7153" w:val="left" w:leader="none"/>
                <w:tab w:pos="7953" w:val="left" w:leader="none"/>
                <w:tab w:pos="8760" w:val="left" w:leader="none"/>
              </w:tabs>
              <w:spacing w:line="249" w:lineRule="auto"/>
              <w:ind w:left="1871" w:right="445" w:hanging="295"/>
              <w:rPr>
                <w:rFonts w:ascii="Microsoft Sans Serif" w:hAnsi="Microsoft Sans Serif"/>
                <w:sz w:val="9"/>
              </w:rPr>
            </w:pPr>
            <w:r>
              <w:rPr>
                <w:rFonts w:ascii="Microsoft Sans Serif" w:hAnsi="Microsoft Sans Serif"/>
                <w:w w:val="105"/>
                <w:sz w:val="9"/>
              </w:rPr>
              <w:t>Δεκ</w:t>
            </w:r>
            <w:r>
              <w:rPr>
                <w:rFonts w:ascii="Arial MT" w:hAnsi="Arial MT"/>
                <w:w w:val="105"/>
                <w:sz w:val="9"/>
              </w:rPr>
              <w:t>-22</w:t>
            </w:r>
            <w:r>
              <w:rPr>
                <w:rFonts w:ascii="Arial MT" w:hAnsi="Arial MT"/>
                <w:spacing w:val="40"/>
                <w:w w:val="105"/>
                <w:sz w:val="9"/>
              </w:rPr>
              <w:t> </w:t>
            </w:r>
            <w:r>
              <w:rPr>
                <w:rFonts w:ascii="Microsoft Sans Serif" w:hAnsi="Microsoft Sans Serif"/>
                <w:w w:val="105"/>
                <w:sz w:val="9"/>
              </w:rPr>
              <w:t>Έτος 23</w:t>
            </w:r>
            <w:r>
              <w:rPr>
                <w:rFonts w:ascii="Microsoft Sans Serif" w:hAnsi="Microsoft Sans Serif"/>
                <w:spacing w:val="23"/>
                <w:w w:val="105"/>
                <w:sz w:val="9"/>
              </w:rPr>
              <w:t> </w:t>
            </w:r>
            <w:r>
              <w:rPr>
                <w:rFonts w:ascii="Microsoft Sans Serif" w:hAnsi="Microsoft Sans Serif"/>
                <w:w w:val="105"/>
                <w:sz w:val="9"/>
              </w:rPr>
              <w:t>Έτος 23</w:t>
            </w:r>
            <w:r>
              <w:rPr>
                <w:rFonts w:ascii="Microsoft Sans Serif" w:hAnsi="Microsoft Sans Serif"/>
                <w:spacing w:val="39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Δεκ-23</w:t>
            </w:r>
            <w:r>
              <w:rPr>
                <w:spacing w:val="38"/>
                <w:w w:val="105"/>
                <w:sz w:val="9"/>
              </w:rPr>
              <w:t> </w:t>
            </w:r>
            <w:r>
              <w:rPr>
                <w:rFonts w:ascii="Microsoft Sans Serif" w:hAnsi="Microsoft Sans Serif"/>
                <w:w w:val="105"/>
                <w:sz w:val="9"/>
              </w:rPr>
              <w:t>Έτος 24</w:t>
            </w:r>
            <w:r>
              <w:rPr>
                <w:rFonts w:ascii="Microsoft Sans Serif" w:hAnsi="Microsoft Sans Serif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Έτος</w:t>
            </w:r>
            <w:r>
              <w:rPr>
                <w:spacing w:val="-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24</w:t>
            </w:r>
            <w:r>
              <w:rPr>
                <w:spacing w:val="32"/>
                <w:w w:val="105"/>
                <w:sz w:val="9"/>
              </w:rPr>
              <w:t> </w:t>
            </w:r>
            <w:r>
              <w:rPr>
                <w:w w:val="105"/>
                <w:sz w:val="9"/>
              </w:rPr>
              <w:t>Δεκ-24Α’ τρίμηνοΜαρ-25</w:t>
            </w:r>
            <w:r>
              <w:rPr>
                <w:rFonts w:ascii="Microsoft Sans Serif" w:hAnsi="Microsoft Sans Serif"/>
                <w:w w:val="105"/>
                <w:sz w:val="9"/>
              </w:rPr>
              <w:t>Β’ Τρίμηνο</w:t>
            </w:r>
            <w:r>
              <w:rPr>
                <w:rFonts w:ascii="Microsoft Sans Serif" w:hAnsi="Microsoft Sans Serif"/>
                <w:spacing w:val="80"/>
                <w:w w:val="105"/>
                <w:sz w:val="9"/>
              </w:rPr>
              <w:t> </w:t>
            </w:r>
            <w:r>
              <w:rPr>
                <w:rFonts w:ascii="Microsoft Sans Serif" w:hAnsi="Microsoft Sans Serif"/>
                <w:w w:val="105"/>
                <w:sz w:val="9"/>
              </w:rPr>
              <w:t>Β’</w:t>
            </w:r>
            <w:r>
              <w:rPr>
                <w:rFonts w:ascii="Microsoft Sans Serif" w:hAnsi="Microsoft Sans Serif"/>
                <w:spacing w:val="40"/>
                <w:w w:val="105"/>
                <w:sz w:val="9"/>
              </w:rPr>
              <w:t>  </w:t>
            </w:r>
            <w:r>
              <w:rPr>
                <w:w w:val="105"/>
                <w:sz w:val="9"/>
              </w:rPr>
              <w:t>Ιουν-25</w:t>
            </w:r>
            <w:r>
              <w:rPr>
                <w:spacing w:val="80"/>
                <w:w w:val="150"/>
                <w:sz w:val="9"/>
              </w:rPr>
              <w:t> </w:t>
            </w:r>
            <w:r>
              <w:rPr>
                <w:w w:val="105"/>
                <w:sz w:val="9"/>
              </w:rPr>
              <w:t>Γ’</w:t>
            </w:r>
            <w:r>
              <w:rPr>
                <w:sz w:val="9"/>
              </w:rPr>
              <w:tab/>
            </w:r>
            <w:r>
              <w:rPr>
                <w:w w:val="105"/>
                <w:sz w:val="9"/>
              </w:rPr>
              <w:t>Σεπ-25</w:t>
            </w:r>
            <w:r>
              <w:rPr>
                <w:spacing w:val="60"/>
                <w:w w:val="105"/>
                <w:sz w:val="9"/>
              </w:rPr>
              <w:t>  </w:t>
            </w:r>
            <w:r>
              <w:rPr>
                <w:w w:val="105"/>
                <w:sz w:val="9"/>
              </w:rPr>
              <w:t>Δ’</w:t>
            </w:r>
            <w:r>
              <w:rPr>
                <w:spacing w:val="60"/>
                <w:w w:val="105"/>
                <w:sz w:val="9"/>
              </w:rPr>
              <w:t>  </w:t>
            </w:r>
            <w:r>
              <w:rPr>
                <w:w w:val="105"/>
                <w:sz w:val="9"/>
              </w:rPr>
              <w:t>Δεκ-25</w:t>
            </w:r>
            <w:r>
              <w:rPr>
                <w:spacing w:val="59"/>
                <w:w w:val="105"/>
                <w:sz w:val="9"/>
              </w:rPr>
              <w:t>  </w:t>
            </w:r>
            <w:r>
              <w:rPr>
                <w:w w:val="105"/>
                <w:sz w:val="9"/>
              </w:rPr>
              <w:t>Α’</w:t>
            </w:r>
            <w:r>
              <w:rPr>
                <w:spacing w:val="57"/>
                <w:w w:val="105"/>
                <w:sz w:val="9"/>
              </w:rPr>
              <w:t>  </w:t>
            </w:r>
            <w:r>
              <w:rPr>
                <w:rFonts w:ascii="Microsoft Sans Serif" w:hAnsi="Microsoft Sans Serif"/>
                <w:w w:val="105"/>
                <w:sz w:val="9"/>
              </w:rPr>
              <w:t>Μαρ</w:t>
            </w:r>
            <w:r>
              <w:rPr>
                <w:rFonts w:ascii="Arial MT" w:hAnsi="Arial MT"/>
                <w:w w:val="105"/>
                <w:sz w:val="9"/>
              </w:rPr>
              <w:t>-26</w:t>
            </w:r>
            <w:r>
              <w:rPr>
                <w:rFonts w:ascii="Arial MT" w:hAnsi="Arial MT"/>
                <w:spacing w:val="65"/>
                <w:w w:val="105"/>
                <w:sz w:val="9"/>
              </w:rPr>
              <w:t>  </w:t>
            </w:r>
            <w:r>
              <w:rPr>
                <w:rFonts w:ascii="Microsoft Sans Serif" w:hAnsi="Microsoft Sans Serif"/>
                <w:w w:val="105"/>
                <w:sz w:val="9"/>
              </w:rPr>
              <w:t>Β’</w:t>
            </w:r>
            <w:r>
              <w:rPr>
                <w:rFonts w:ascii="Microsoft Sans Serif" w:hAnsi="Microsoft Sans Serif"/>
                <w:spacing w:val="68"/>
                <w:w w:val="105"/>
                <w:sz w:val="9"/>
              </w:rPr>
              <w:t>  </w:t>
            </w:r>
            <w:r>
              <w:rPr>
                <w:rFonts w:ascii="Microsoft Sans Serif" w:hAnsi="Microsoft Sans Serif"/>
                <w:w w:val="105"/>
                <w:sz w:val="9"/>
              </w:rPr>
              <w:t>Ιουν</w:t>
            </w:r>
            <w:r>
              <w:rPr>
                <w:rFonts w:ascii="Arial MT" w:hAnsi="Arial MT"/>
                <w:w w:val="105"/>
                <w:sz w:val="9"/>
              </w:rPr>
              <w:t>-26</w:t>
            </w:r>
            <w:r>
              <w:rPr>
                <w:rFonts w:ascii="Arial MT" w:hAnsi="Arial MT"/>
                <w:spacing w:val="40"/>
                <w:w w:val="105"/>
                <w:sz w:val="9"/>
              </w:rPr>
              <w:t> </w:t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ΣυναλλαγέΜςεταβολή</w:t>
            </w:r>
            <w:r>
              <w:rPr>
                <w:rFonts w:ascii="Microsoft Sans Serif" w:hAnsi="Microsoft Sans Serif"/>
                <w:sz w:val="9"/>
              </w:rPr>
              <w:tab/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Συναλλαγ</w:t>
            </w:r>
            <w:r>
              <w:rPr>
                <w:spacing w:val="-2"/>
                <w:w w:val="105"/>
                <w:sz w:val="9"/>
              </w:rPr>
              <w:t>Μ</w:t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ές</w:t>
            </w:r>
            <w:r>
              <w:rPr>
                <w:spacing w:val="-2"/>
                <w:w w:val="105"/>
                <w:sz w:val="9"/>
              </w:rPr>
              <w:t>εταβολή</w:t>
            </w:r>
            <w:r>
              <w:rPr>
                <w:sz w:val="9"/>
              </w:rPr>
              <w:tab/>
            </w:r>
            <w:r>
              <w:rPr>
                <w:spacing w:val="-2"/>
                <w:w w:val="105"/>
                <w:sz w:val="9"/>
              </w:rPr>
              <w:t>Μεταβολή</w:t>
            </w:r>
            <w:r>
              <w:rPr>
                <w:sz w:val="9"/>
              </w:rPr>
              <w:tab/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ΣυναλλαγέςΤρίμηνο</w:t>
            </w:r>
            <w:r>
              <w:rPr>
                <w:rFonts w:ascii="Microsoft Sans Serif" w:hAnsi="Microsoft Sans Serif"/>
                <w:sz w:val="9"/>
              </w:rPr>
              <w:tab/>
            </w:r>
            <w:r>
              <w:rPr>
                <w:spacing w:val="-2"/>
                <w:w w:val="105"/>
                <w:sz w:val="9"/>
              </w:rPr>
              <w:t>Τρίμηνο</w:t>
            </w:r>
            <w:r>
              <w:rPr>
                <w:sz w:val="9"/>
              </w:rPr>
              <w:tab/>
              <w:tab/>
            </w:r>
            <w:r>
              <w:rPr>
                <w:spacing w:val="-2"/>
                <w:w w:val="105"/>
                <w:sz w:val="9"/>
              </w:rPr>
              <w:t>Τρίμηνο</w:t>
            </w:r>
            <w:r>
              <w:rPr>
                <w:sz w:val="9"/>
              </w:rPr>
              <w:tab/>
            </w:r>
            <w:r>
              <w:rPr>
                <w:spacing w:val="-2"/>
                <w:w w:val="105"/>
                <w:sz w:val="9"/>
              </w:rPr>
              <w:t>Τρίμηνο</w:t>
            </w:r>
            <w:r>
              <w:rPr>
                <w:sz w:val="9"/>
              </w:rPr>
              <w:tab/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Τρίμηνο</w:t>
            </w:r>
          </w:p>
          <w:p>
            <w:pPr>
              <w:pStyle w:val="TableParagraph"/>
              <w:tabs>
                <w:tab w:pos="5514" w:val="left" w:leader="none"/>
                <w:tab w:pos="6303" w:val="left" w:leader="none"/>
                <w:tab w:pos="7105" w:val="left" w:leader="none"/>
                <w:tab w:pos="7905" w:val="left" w:leader="none"/>
                <w:tab w:pos="8718" w:val="left" w:leader="none"/>
              </w:tabs>
              <w:spacing w:line="266" w:lineRule="auto" w:before="1"/>
              <w:ind w:left="1882" w:right="789" w:firstLine="48"/>
              <w:rPr>
                <w:rFonts w:ascii="Microsoft Sans Serif" w:hAnsi="Microsoft Sans Serif"/>
                <w:sz w:val="9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(συμπερ.</w:t>
            </w:r>
            <w:r>
              <w:rPr>
                <w:rFonts w:ascii="Microsoft Sans Serif" w:hAnsi="Microsoft Sans Serif"/>
                <w:sz w:val="9"/>
              </w:rPr>
              <w:tab/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Μεταβολή</w:t>
            </w:r>
            <w:r>
              <w:rPr>
                <w:rFonts w:ascii="Microsoft Sans Serif" w:hAnsi="Microsoft Sans Serif"/>
                <w:sz w:val="9"/>
              </w:rPr>
              <w:tab/>
            </w:r>
            <w:r>
              <w:rPr>
                <w:spacing w:val="-2"/>
                <w:w w:val="105"/>
                <w:sz w:val="9"/>
              </w:rPr>
              <w:t>Μεταβολή</w:t>
            </w:r>
            <w:r>
              <w:rPr>
                <w:sz w:val="9"/>
              </w:rPr>
              <w:tab/>
            </w:r>
            <w:r>
              <w:rPr>
                <w:spacing w:val="-2"/>
                <w:w w:val="105"/>
                <w:sz w:val="9"/>
              </w:rPr>
              <w:t>Μεταβολή</w:t>
            </w:r>
            <w:r>
              <w:rPr>
                <w:sz w:val="9"/>
              </w:rPr>
              <w:tab/>
            </w:r>
            <w:r>
              <w:rPr>
                <w:spacing w:val="-2"/>
                <w:w w:val="105"/>
                <w:sz w:val="9"/>
              </w:rPr>
              <w:t>Μεταβολή</w:t>
            </w:r>
            <w:r>
              <w:rPr>
                <w:sz w:val="9"/>
              </w:rPr>
              <w:tab/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Μεταβολή</w:t>
            </w:r>
            <w:r>
              <w:rPr>
                <w:rFonts w:ascii="Microsoft Sans Serif" w:hAnsi="Microsoft Sans Serif"/>
                <w:spacing w:val="40"/>
                <w:w w:val="105"/>
                <w:sz w:val="9"/>
              </w:rPr>
              <w:t> </w:t>
            </w:r>
            <w:r>
              <w:rPr>
                <w:rFonts w:ascii="Microsoft Sans Serif" w:hAnsi="Microsoft Sans Serif"/>
                <w:spacing w:val="-2"/>
                <w:w w:val="105"/>
                <w:sz w:val="9"/>
              </w:rPr>
              <w:t>Ρουμανίας)</w:t>
            </w:r>
          </w:p>
        </w:tc>
      </w:tr>
    </w:tbl>
    <w:p>
      <w:pPr>
        <w:pStyle w:val="TableParagraph"/>
        <w:spacing w:after="0" w:line="266" w:lineRule="auto"/>
        <w:rPr>
          <w:rFonts w:ascii="Microsoft Sans Serif" w:hAnsi="Microsoft Sans Serif"/>
          <w:sz w:val="9"/>
        </w:rPr>
        <w:sectPr>
          <w:pgSz w:w="11920" w:h="16850"/>
          <w:pgMar w:header="639" w:footer="648" w:top="1260" w:bottom="840" w:left="283" w:right="425"/>
        </w:sectPr>
      </w:pPr>
    </w:p>
    <w:p>
      <w:pPr>
        <w:pStyle w:val="BodyText"/>
        <w:spacing w:before="136"/>
        <w:rPr>
          <w:rFonts w:ascii="Tahoma"/>
          <w:b/>
          <w:sz w:val="20"/>
        </w:rPr>
      </w:pPr>
    </w:p>
    <w:p>
      <w:pPr>
        <w:spacing w:before="0"/>
        <w:ind w:left="583" w:right="0" w:firstLine="0"/>
        <w:jc w:val="left"/>
        <w:rPr>
          <w:sz w:val="20"/>
        </w:rPr>
      </w:pPr>
      <w:r>
        <w:rPr>
          <w:color w:val="E2882D"/>
          <w:w w:val="90"/>
          <w:sz w:val="20"/>
        </w:rPr>
        <w:t>Σε</w:t>
      </w:r>
      <w:r>
        <w:rPr>
          <w:color w:val="E2882D"/>
          <w:spacing w:val="14"/>
          <w:sz w:val="20"/>
        </w:rPr>
        <w:t> </w:t>
      </w:r>
      <w:r>
        <w:rPr>
          <w:color w:val="E2882D"/>
          <w:w w:val="90"/>
          <w:sz w:val="20"/>
        </w:rPr>
        <w:t>επίπεδο</w:t>
      </w:r>
      <w:r>
        <w:rPr>
          <w:color w:val="E2882D"/>
          <w:spacing w:val="14"/>
          <w:sz w:val="20"/>
        </w:rPr>
        <w:t> </w:t>
      </w:r>
      <w:r>
        <w:rPr>
          <w:color w:val="E2882D"/>
          <w:w w:val="90"/>
          <w:sz w:val="20"/>
        </w:rPr>
        <w:t>Ομίλου,</w:t>
      </w:r>
      <w:r>
        <w:rPr>
          <w:color w:val="E2882D"/>
          <w:spacing w:val="14"/>
          <w:sz w:val="20"/>
        </w:rPr>
        <w:t> </w:t>
      </w:r>
      <w:r>
        <w:rPr>
          <w:color w:val="E2882D"/>
          <w:w w:val="90"/>
          <w:sz w:val="20"/>
        </w:rPr>
        <w:t>ο</w:t>
      </w:r>
      <w:r>
        <w:rPr>
          <w:color w:val="E2882D"/>
          <w:spacing w:val="17"/>
          <w:sz w:val="20"/>
        </w:rPr>
        <w:t> </w:t>
      </w:r>
      <w:r>
        <w:rPr>
          <w:color w:val="E2882D"/>
          <w:w w:val="90"/>
          <w:sz w:val="20"/>
        </w:rPr>
        <w:t>Δείκτης</w:t>
      </w:r>
      <w:r>
        <w:rPr>
          <w:color w:val="E2882D"/>
          <w:spacing w:val="16"/>
          <w:sz w:val="20"/>
        </w:rPr>
        <w:t> </w:t>
      </w:r>
      <w:r>
        <w:rPr>
          <w:color w:val="E2882D"/>
          <w:w w:val="90"/>
          <w:sz w:val="20"/>
        </w:rPr>
        <w:t>Κάλυψης</w:t>
      </w:r>
      <w:r>
        <w:rPr>
          <w:color w:val="E2882D"/>
          <w:spacing w:val="16"/>
          <w:sz w:val="20"/>
        </w:rPr>
        <w:t> </w:t>
      </w:r>
      <w:r>
        <w:rPr>
          <w:color w:val="E2882D"/>
          <w:w w:val="90"/>
          <w:sz w:val="20"/>
        </w:rPr>
        <w:t>Μη</w:t>
      </w:r>
      <w:r>
        <w:rPr>
          <w:color w:val="E2882D"/>
          <w:spacing w:val="14"/>
          <w:sz w:val="20"/>
        </w:rPr>
        <w:t> </w:t>
      </w:r>
      <w:r>
        <w:rPr>
          <w:color w:val="E2882D"/>
          <w:w w:val="90"/>
          <w:sz w:val="20"/>
        </w:rPr>
        <w:t>Εξυπηρετούμενων</w:t>
      </w:r>
      <w:r>
        <w:rPr>
          <w:color w:val="E2882D"/>
          <w:spacing w:val="16"/>
          <w:sz w:val="20"/>
        </w:rPr>
        <w:t> </w:t>
      </w:r>
      <w:r>
        <w:rPr>
          <w:color w:val="E2882D"/>
          <w:w w:val="90"/>
          <w:sz w:val="20"/>
        </w:rPr>
        <w:t>Ανοιγμάτων</w:t>
      </w:r>
      <w:r>
        <w:rPr>
          <w:color w:val="E2882D"/>
          <w:spacing w:val="18"/>
          <w:sz w:val="20"/>
        </w:rPr>
        <w:t> </w:t>
      </w:r>
      <w:r>
        <w:rPr>
          <w:color w:val="E2882D"/>
          <w:w w:val="90"/>
          <w:sz w:val="20"/>
        </w:rPr>
        <w:t>ενισχύθηκε</w:t>
      </w:r>
      <w:r>
        <w:rPr>
          <w:color w:val="E2882D"/>
          <w:spacing w:val="16"/>
          <w:sz w:val="20"/>
        </w:rPr>
        <w:t> </w:t>
      </w:r>
      <w:r>
        <w:rPr>
          <w:color w:val="E2882D"/>
          <w:w w:val="90"/>
          <w:sz w:val="20"/>
        </w:rPr>
        <w:t>σε</w:t>
      </w:r>
      <w:r>
        <w:rPr>
          <w:color w:val="E2882D"/>
          <w:spacing w:val="14"/>
          <w:sz w:val="20"/>
        </w:rPr>
        <w:t> </w:t>
      </w:r>
      <w:r>
        <w:rPr>
          <w:color w:val="E2882D"/>
          <w:spacing w:val="-5"/>
          <w:w w:val="90"/>
          <w:sz w:val="20"/>
        </w:rPr>
        <w:t>55%</w:t>
      </w:r>
    </w:p>
    <w:p>
      <w:pPr>
        <w:spacing w:line="219" w:lineRule="exact" w:before="118"/>
        <w:ind w:left="583" w:right="0" w:firstLine="0"/>
        <w:jc w:val="left"/>
        <w:rPr>
          <w:sz w:val="18"/>
        </w:rPr>
      </w:pPr>
      <w:r>
        <w:rPr>
          <w:spacing w:val="-6"/>
          <w:sz w:val="18"/>
        </w:rPr>
        <w:t>Ο</w:t>
      </w:r>
      <w:r>
        <w:rPr>
          <w:spacing w:val="-13"/>
          <w:sz w:val="18"/>
        </w:rPr>
        <w:t> </w:t>
      </w:r>
      <w:r>
        <w:rPr>
          <w:rFonts w:ascii="Tahoma" w:hAnsi="Tahoma"/>
          <w:b/>
          <w:spacing w:val="-6"/>
          <w:sz w:val="18"/>
        </w:rPr>
        <w:t>Δείκτης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6"/>
          <w:sz w:val="18"/>
        </w:rPr>
        <w:t>Κάλυψης</w:t>
      </w:r>
      <w:r>
        <w:rPr>
          <w:rFonts w:ascii="Tahoma" w:hAnsi="Tahoma"/>
          <w:b/>
          <w:sz w:val="18"/>
        </w:rPr>
        <w:t> </w:t>
      </w:r>
      <w:r>
        <w:rPr>
          <w:rFonts w:ascii="Tahoma" w:hAnsi="Tahoma"/>
          <w:b/>
          <w:spacing w:val="-6"/>
          <w:sz w:val="18"/>
        </w:rPr>
        <w:t>των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spacing w:val="-6"/>
          <w:sz w:val="18"/>
        </w:rPr>
        <w:t>Μη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pacing w:val="-6"/>
          <w:sz w:val="18"/>
        </w:rPr>
        <w:t>Εξυπηρετούμενων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spacing w:val="-6"/>
          <w:sz w:val="18"/>
        </w:rPr>
        <w:t>Ανοιγμάτων</w:t>
      </w:r>
      <w:r>
        <w:rPr>
          <w:rFonts w:ascii="Tahoma" w:hAnsi="Tahoma"/>
          <w:b/>
          <w:spacing w:val="3"/>
          <w:sz w:val="18"/>
        </w:rPr>
        <w:t> </w:t>
      </w:r>
      <w:r>
        <w:rPr>
          <w:spacing w:val="-6"/>
          <w:sz w:val="18"/>
        </w:rPr>
        <w:t>του</w:t>
      </w:r>
      <w:r>
        <w:rPr>
          <w:spacing w:val="-11"/>
          <w:sz w:val="18"/>
        </w:rPr>
        <w:t> </w:t>
      </w:r>
      <w:r>
        <w:rPr>
          <w:spacing w:val="-6"/>
          <w:sz w:val="18"/>
        </w:rPr>
        <w:t>Ομίλου</w:t>
      </w:r>
      <w:r>
        <w:rPr>
          <w:spacing w:val="-10"/>
          <w:sz w:val="18"/>
        </w:rPr>
        <w:t> </w:t>
      </w:r>
      <w:r>
        <w:rPr>
          <w:spacing w:val="-6"/>
          <w:sz w:val="18"/>
        </w:rPr>
        <w:t>διαμορφώθηκε</w:t>
      </w:r>
      <w:r>
        <w:rPr>
          <w:spacing w:val="-10"/>
          <w:sz w:val="18"/>
        </w:rPr>
        <w:t> </w:t>
      </w:r>
      <w:r>
        <w:rPr>
          <w:spacing w:val="-6"/>
          <w:sz w:val="18"/>
        </w:rPr>
        <w:t>σε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55%</w:t>
      </w:r>
      <w:r>
        <w:rPr>
          <w:spacing w:val="-11"/>
          <w:sz w:val="18"/>
        </w:rPr>
        <w:t> </w:t>
      </w:r>
      <w:r>
        <w:rPr>
          <w:spacing w:val="-6"/>
          <w:sz w:val="18"/>
        </w:rPr>
        <w:t>στο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τέλος</w:t>
      </w:r>
      <w:r>
        <w:rPr>
          <w:spacing w:val="-11"/>
          <w:sz w:val="18"/>
        </w:rPr>
        <w:t> </w:t>
      </w:r>
      <w:r>
        <w:rPr>
          <w:spacing w:val="-6"/>
          <w:sz w:val="18"/>
        </w:rPr>
        <w:t>του</w:t>
      </w:r>
      <w:r>
        <w:rPr>
          <w:spacing w:val="-10"/>
          <w:sz w:val="18"/>
        </w:rPr>
        <w:t> </w:t>
      </w:r>
      <w:r>
        <w:rPr>
          <w:spacing w:val="-6"/>
          <w:sz w:val="18"/>
        </w:rPr>
        <w:t>β’</w:t>
      </w:r>
    </w:p>
    <w:p>
      <w:pPr>
        <w:pStyle w:val="BodyText"/>
        <w:ind w:left="583" w:right="749"/>
      </w:pPr>
      <w:r>
        <w:rPr>
          <w:w w:val="90"/>
        </w:rPr>
        <w:t>τριμήνου 2026, ενώ ο συνολικός Δείκτης Κάλυψης, συμπεριλαμβανομένων των ενσώματων εξασφαλίσεων,</w:t>
      </w:r>
      <w:r>
        <w:rPr/>
        <w:t> </w:t>
      </w:r>
      <w:r>
        <w:rPr>
          <w:w w:val="90"/>
        </w:rPr>
        <w:t>ανήλθε σε</w:t>
      </w:r>
      <w:r>
        <w:rPr>
          <w:spacing w:val="40"/>
        </w:rPr>
        <w:t> </w:t>
      </w:r>
      <w:r>
        <w:rPr>
          <w:spacing w:val="-6"/>
        </w:rPr>
        <w:t>132%. Από τα Μη Εξυπηρετούμενα</w:t>
      </w:r>
      <w:r>
        <w:rPr>
          <w:spacing w:val="-7"/>
        </w:rPr>
        <w:t> </w:t>
      </w:r>
      <w:r>
        <w:rPr>
          <w:spacing w:val="-6"/>
        </w:rPr>
        <w:t>Ανοίγματα του Ομίλου</w:t>
      </w:r>
      <w:r>
        <w:rPr>
          <w:spacing w:val="-10"/>
        </w:rPr>
        <w:t> </w:t>
      </w:r>
      <w:r>
        <w:rPr>
          <w:spacing w:val="-6"/>
        </w:rPr>
        <w:t>ύψους</w:t>
      </w:r>
      <w:r>
        <w:rPr>
          <w:spacing w:val="-7"/>
        </w:rPr>
        <w:t> </w:t>
      </w:r>
      <w:r>
        <w:rPr>
          <w:spacing w:val="-6"/>
        </w:rPr>
        <w:t>€1,7</w:t>
      </w:r>
      <w:r>
        <w:rPr>
          <w:spacing w:val="-9"/>
        </w:rPr>
        <w:t> </w:t>
      </w:r>
      <w:r>
        <w:rPr>
          <w:spacing w:val="-6"/>
        </w:rPr>
        <w:t>δισ., περισσότερα από τα μισά</w:t>
      </w:r>
      <w:r>
        <w:rPr>
          <w:spacing w:val="-10"/>
        </w:rPr>
        <w:t> </w:t>
      </w:r>
      <w:r>
        <w:rPr>
          <w:spacing w:val="-6"/>
        </w:rPr>
        <w:t>αφορούν</w:t>
      </w:r>
      <w:r>
        <w:rPr>
          <w:spacing w:val="-7"/>
        </w:rPr>
        <w:t> </w:t>
      </w:r>
      <w:r>
        <w:rPr>
          <w:spacing w:val="-6"/>
        </w:rPr>
        <w:t>σε</w:t>
      </w:r>
    </w:p>
    <w:p>
      <w:pPr>
        <w:pStyle w:val="BodyText"/>
        <w:ind w:left="583"/>
      </w:pPr>
      <w:r>
        <w:rPr>
          <w:spacing w:val="-6"/>
        </w:rPr>
        <w:t>στεγαστικά</w:t>
      </w:r>
      <w:r>
        <w:rPr>
          <w:spacing w:val="-11"/>
        </w:rPr>
        <w:t> </w:t>
      </w:r>
      <w:r>
        <w:rPr>
          <w:spacing w:val="-6"/>
        </w:rPr>
        <w:t>δάνεια</w:t>
      </w:r>
      <w:r>
        <w:rPr>
          <w:spacing w:val="-11"/>
        </w:rPr>
        <w:t> </w:t>
      </w:r>
      <w:r>
        <w:rPr>
          <w:spacing w:val="-6"/>
        </w:rPr>
        <w:t>(ποσοστό</w:t>
      </w:r>
      <w:r>
        <w:rPr>
          <w:spacing w:val="-12"/>
        </w:rPr>
        <w:t> </w:t>
      </w:r>
      <w:r>
        <w:rPr>
          <w:spacing w:val="-6"/>
        </w:rPr>
        <w:t>54%</w:t>
      </w:r>
      <w:r>
        <w:rPr>
          <w:spacing w:val="-11"/>
        </w:rPr>
        <w:t> </w:t>
      </w:r>
      <w:r>
        <w:rPr>
          <w:spacing w:val="-6"/>
        </w:rPr>
        <w:t>του</w:t>
      </w:r>
      <w:r>
        <w:rPr>
          <w:spacing w:val="-13"/>
        </w:rPr>
        <w:t> </w:t>
      </w:r>
      <w:r>
        <w:rPr>
          <w:spacing w:val="-6"/>
        </w:rPr>
        <w:t>συνόλου),</w:t>
      </w:r>
      <w:r>
        <w:rPr>
          <w:spacing w:val="-11"/>
        </w:rPr>
        <w:t> </w:t>
      </w:r>
      <w:r>
        <w:rPr>
          <w:spacing w:val="-6"/>
        </w:rPr>
        <w:t>ενώ</w:t>
      </w:r>
      <w:r>
        <w:rPr>
          <w:spacing w:val="-13"/>
        </w:rPr>
        <w:t> </w:t>
      </w:r>
      <w:r>
        <w:rPr>
          <w:spacing w:val="-6"/>
        </w:rPr>
        <w:t>ένα</w:t>
      </w:r>
      <w:r>
        <w:rPr>
          <w:spacing w:val="-14"/>
        </w:rPr>
        <w:t> </w:t>
      </w:r>
      <w:r>
        <w:rPr>
          <w:spacing w:val="-6"/>
        </w:rPr>
        <w:t>μεγάλο</w:t>
      </w:r>
      <w:r>
        <w:rPr>
          <w:spacing w:val="-11"/>
        </w:rPr>
        <w:t> </w:t>
      </w:r>
      <w:r>
        <w:rPr>
          <w:spacing w:val="-6"/>
        </w:rPr>
        <w:t>μέρος</w:t>
      </w:r>
      <w:r>
        <w:rPr>
          <w:spacing w:val="-11"/>
        </w:rPr>
        <w:t> </w:t>
      </w:r>
      <w:r>
        <w:rPr>
          <w:spacing w:val="-6"/>
        </w:rPr>
        <w:t>αυτών</w:t>
      </w:r>
      <w:r>
        <w:rPr>
          <w:spacing w:val="-12"/>
        </w:rPr>
        <w:t> </w:t>
      </w:r>
      <w:r>
        <w:rPr>
          <w:spacing w:val="-6"/>
        </w:rPr>
        <w:t>αποτελείται</w:t>
      </w:r>
      <w:r>
        <w:rPr>
          <w:spacing w:val="-11"/>
        </w:rPr>
        <w:t> </w:t>
      </w:r>
      <w:r>
        <w:rPr>
          <w:spacing w:val="-6"/>
        </w:rPr>
        <w:t>από</w:t>
      </w:r>
      <w:r>
        <w:rPr>
          <w:spacing w:val="-11"/>
        </w:rPr>
        <w:t> </w:t>
      </w:r>
      <w:r>
        <w:rPr>
          <w:spacing w:val="-6"/>
        </w:rPr>
        <w:t>ρυθμισμένα</w:t>
      </w:r>
      <w:r>
        <w:rPr>
          <w:spacing w:val="-12"/>
        </w:rPr>
        <w:t> </w:t>
      </w:r>
      <w:r>
        <w:rPr>
          <w:spacing w:val="-6"/>
        </w:rPr>
        <w:t>ανοίγματα</w:t>
      </w:r>
      <w:r>
        <w:rPr>
          <w:spacing w:val="-11"/>
        </w:rPr>
        <w:t> </w:t>
      </w:r>
      <w:r>
        <w:rPr>
          <w:spacing w:val="-6"/>
        </w:rPr>
        <w:t>με </w:t>
      </w:r>
      <w:r>
        <w:rPr>
          <w:spacing w:val="-8"/>
        </w:rPr>
        <w:t>λιγότερο από 90 ημέρες σε καθυστέρηση (27% του συνόλου ή €0,4 δισ.). Ο </w:t>
      </w:r>
      <w:r>
        <w:rPr>
          <w:rFonts w:ascii="Tahoma" w:hAnsi="Tahoma"/>
          <w:b/>
          <w:spacing w:val="-8"/>
        </w:rPr>
        <w:t>Δείκτης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spacing w:val="-8"/>
        </w:rPr>
        <w:t>Κάλυψης</w:t>
      </w:r>
      <w:r>
        <w:rPr>
          <w:rFonts w:ascii="Tahoma" w:hAnsi="Tahoma"/>
          <w:b/>
        </w:rPr>
        <w:t> </w:t>
      </w:r>
      <w:r>
        <w:rPr>
          <w:rFonts w:ascii="Tahoma" w:hAnsi="Tahoma"/>
          <w:b/>
          <w:spacing w:val="-8"/>
        </w:rPr>
        <w:t>Καθυστερήσεων</w:t>
      </w:r>
      <w:r>
        <w:rPr>
          <w:rFonts w:ascii="Tahoma" w:hAnsi="Tahoma"/>
          <w:b/>
        </w:rPr>
        <w:t> </w:t>
      </w:r>
      <w:r>
        <w:rPr>
          <w:spacing w:val="-8"/>
        </w:rPr>
        <w:t>σε επίπεδο </w:t>
      </w:r>
      <w:r>
        <w:rPr>
          <w:spacing w:val="-6"/>
        </w:rPr>
        <w:t>Ομίλου διαμορφώθηκε σε 81%, ενώ ο συνολικός Δείκτης Κάλυψης Καθυστερήσεων,</w:t>
      </w:r>
      <w:r>
        <w:rPr>
          <w:spacing w:val="-7"/>
        </w:rPr>
        <w:t> </w:t>
      </w:r>
      <w:r>
        <w:rPr>
          <w:spacing w:val="-6"/>
        </w:rPr>
        <w:t>συμπεριλαμβανομένων</w:t>
      </w:r>
      <w:r>
        <w:rPr>
          <w:spacing w:val="-7"/>
        </w:rPr>
        <w:t> </w:t>
      </w:r>
      <w:r>
        <w:rPr>
          <w:spacing w:val="-6"/>
        </w:rPr>
        <w:t>των</w:t>
      </w:r>
    </w:p>
    <w:p>
      <w:pPr>
        <w:pStyle w:val="BodyText"/>
        <w:spacing w:line="218" w:lineRule="exact"/>
        <w:ind w:left="583"/>
      </w:pPr>
      <w:r>
        <w:rPr>
          <w:w w:val="90"/>
        </w:rPr>
        <w:t>ενσώματων</w:t>
      </w:r>
      <w:r>
        <w:rPr>
          <w:spacing w:val="9"/>
        </w:rPr>
        <w:t> </w:t>
      </w:r>
      <w:r>
        <w:rPr>
          <w:w w:val="90"/>
        </w:rPr>
        <w:t>εξασφαλίσεων,</w:t>
      </w:r>
      <w:r>
        <w:rPr>
          <w:spacing w:val="7"/>
        </w:rPr>
        <w:t> </w:t>
      </w:r>
      <w:r>
        <w:rPr>
          <w:w w:val="90"/>
        </w:rPr>
        <w:t>ανήλθε</w:t>
      </w:r>
      <w:r>
        <w:rPr>
          <w:spacing w:val="10"/>
        </w:rPr>
        <w:t> </w:t>
      </w:r>
      <w:r>
        <w:rPr>
          <w:w w:val="90"/>
        </w:rPr>
        <w:t>σε</w:t>
      </w:r>
      <w:r>
        <w:rPr>
          <w:spacing w:val="10"/>
        </w:rPr>
        <w:t> </w:t>
      </w:r>
      <w:r>
        <w:rPr>
          <w:spacing w:val="-2"/>
          <w:w w:val="90"/>
        </w:rPr>
        <w:t>155%.</w:t>
      </w:r>
    </w:p>
    <w:p>
      <w:pPr>
        <w:pStyle w:val="BodyText"/>
        <w:spacing w:before="211"/>
      </w:pPr>
    </w:p>
    <w:p>
      <w:pPr>
        <w:pStyle w:val="Heading1"/>
      </w:pPr>
      <w:r>
        <w:rPr>
          <w:color w:val="5B92C9"/>
          <w:spacing w:val="-4"/>
        </w:rPr>
        <w:t>Κεφαλαιακή</w:t>
      </w:r>
      <w:r>
        <w:rPr>
          <w:color w:val="5B92C9"/>
          <w:spacing w:val="-2"/>
        </w:rPr>
        <w:t> Επάρκεια</w:t>
      </w:r>
    </w:p>
    <w:p>
      <w:pPr>
        <w:spacing w:before="236"/>
        <w:ind w:left="566" w:right="0" w:firstLine="0"/>
        <w:jc w:val="left"/>
        <w:rPr>
          <w:sz w:val="20"/>
        </w:rPr>
      </w:pPr>
      <w:r>
        <w:rPr>
          <w:color w:val="E2882D"/>
          <w:w w:val="90"/>
          <w:sz w:val="20"/>
        </w:rPr>
        <w:t>Η</w:t>
      </w:r>
      <w:r>
        <w:rPr>
          <w:color w:val="E2882D"/>
          <w:spacing w:val="10"/>
          <w:sz w:val="20"/>
        </w:rPr>
        <w:t> </w:t>
      </w:r>
      <w:r>
        <w:rPr>
          <w:color w:val="E2882D"/>
          <w:w w:val="90"/>
          <w:sz w:val="20"/>
        </w:rPr>
        <w:t>συνεχής</w:t>
      </w:r>
      <w:r>
        <w:rPr>
          <w:color w:val="E2882D"/>
          <w:spacing w:val="13"/>
          <w:sz w:val="20"/>
        </w:rPr>
        <w:t> </w:t>
      </w:r>
      <w:r>
        <w:rPr>
          <w:color w:val="E2882D"/>
          <w:w w:val="90"/>
          <w:sz w:val="20"/>
        </w:rPr>
        <w:t>ενίσχυση</w:t>
      </w:r>
      <w:r>
        <w:rPr>
          <w:color w:val="E2882D"/>
          <w:spacing w:val="10"/>
          <w:sz w:val="20"/>
        </w:rPr>
        <w:t> </w:t>
      </w:r>
      <w:r>
        <w:rPr>
          <w:color w:val="E2882D"/>
          <w:w w:val="90"/>
          <w:sz w:val="20"/>
        </w:rPr>
        <w:t>κεφαλαίων</w:t>
      </w:r>
      <w:r>
        <w:rPr>
          <w:color w:val="E2882D"/>
          <w:spacing w:val="14"/>
          <w:sz w:val="20"/>
        </w:rPr>
        <w:t> </w:t>
      </w:r>
      <w:r>
        <w:rPr>
          <w:color w:val="E2882D"/>
          <w:w w:val="90"/>
          <w:sz w:val="20"/>
        </w:rPr>
        <w:t>επιτρέπει</w:t>
      </w:r>
      <w:r>
        <w:rPr>
          <w:color w:val="E2882D"/>
          <w:spacing w:val="16"/>
          <w:sz w:val="20"/>
        </w:rPr>
        <w:t> </w:t>
      </w:r>
      <w:r>
        <w:rPr>
          <w:color w:val="E2882D"/>
          <w:w w:val="90"/>
          <w:sz w:val="20"/>
        </w:rPr>
        <w:t>υψηλότερες</w:t>
      </w:r>
      <w:r>
        <w:rPr>
          <w:color w:val="E2882D"/>
          <w:spacing w:val="12"/>
          <w:sz w:val="20"/>
        </w:rPr>
        <w:t> </w:t>
      </w:r>
      <w:r>
        <w:rPr>
          <w:color w:val="E2882D"/>
          <w:w w:val="90"/>
          <w:sz w:val="20"/>
        </w:rPr>
        <w:t>διανομές</w:t>
      </w:r>
      <w:r>
        <w:rPr>
          <w:color w:val="E2882D"/>
          <w:spacing w:val="12"/>
          <w:sz w:val="20"/>
        </w:rPr>
        <w:t> </w:t>
      </w:r>
      <w:r>
        <w:rPr>
          <w:color w:val="E2882D"/>
          <w:w w:val="90"/>
          <w:sz w:val="20"/>
        </w:rPr>
        <w:t>μερισμάτων.</w:t>
      </w:r>
      <w:r>
        <w:rPr>
          <w:color w:val="E2882D"/>
          <w:spacing w:val="14"/>
          <w:sz w:val="20"/>
        </w:rPr>
        <w:t> </w:t>
      </w:r>
      <w:r>
        <w:rPr>
          <w:color w:val="E2882D"/>
          <w:w w:val="90"/>
          <w:sz w:val="20"/>
        </w:rPr>
        <w:t>Ο</w:t>
      </w:r>
      <w:r>
        <w:rPr>
          <w:color w:val="E2882D"/>
          <w:spacing w:val="11"/>
          <w:sz w:val="20"/>
        </w:rPr>
        <w:t> </w:t>
      </w:r>
      <w:r>
        <w:rPr>
          <w:color w:val="E2882D"/>
          <w:w w:val="90"/>
          <w:sz w:val="20"/>
        </w:rPr>
        <w:t>Δείκτης</w:t>
      </w:r>
      <w:r>
        <w:rPr>
          <w:color w:val="E2882D"/>
          <w:spacing w:val="12"/>
          <w:sz w:val="20"/>
        </w:rPr>
        <w:t> </w:t>
      </w:r>
      <w:r>
        <w:rPr>
          <w:color w:val="E2882D"/>
          <w:w w:val="90"/>
          <w:sz w:val="20"/>
        </w:rPr>
        <w:t>CET1</w:t>
      </w:r>
      <w:r>
        <w:rPr>
          <w:color w:val="E2882D"/>
          <w:spacing w:val="9"/>
          <w:sz w:val="20"/>
        </w:rPr>
        <w:t> </w:t>
      </w:r>
      <w:r>
        <w:rPr>
          <w:color w:val="E2882D"/>
          <w:w w:val="90"/>
          <w:sz w:val="20"/>
        </w:rPr>
        <w:t>ανήλθε</w:t>
      </w:r>
      <w:r>
        <w:rPr>
          <w:color w:val="E2882D"/>
          <w:spacing w:val="11"/>
          <w:sz w:val="20"/>
        </w:rPr>
        <w:t> </w:t>
      </w:r>
      <w:r>
        <w:rPr>
          <w:color w:val="E2882D"/>
          <w:w w:val="90"/>
          <w:sz w:val="20"/>
        </w:rPr>
        <w:t>σε</w:t>
      </w:r>
      <w:r>
        <w:rPr>
          <w:color w:val="E2882D"/>
          <w:spacing w:val="14"/>
          <w:sz w:val="20"/>
        </w:rPr>
        <w:t> </w:t>
      </w:r>
      <w:r>
        <w:rPr>
          <w:color w:val="E2882D"/>
          <w:spacing w:val="-2"/>
          <w:w w:val="90"/>
          <w:sz w:val="20"/>
        </w:rPr>
        <w:t>15,4%</w:t>
      </w:r>
    </w:p>
    <w:p>
      <w:pPr>
        <w:pStyle w:val="BodyText"/>
        <w:spacing w:before="4"/>
        <w:rPr>
          <w:sz w:val="6"/>
        </w:rPr>
      </w:pPr>
    </w:p>
    <w:tbl>
      <w:tblPr>
        <w:tblW w:w="0" w:type="auto"/>
        <w:jc w:val="left"/>
        <w:tblInd w:w="574" w:type="dxa"/>
        <w:tblBorders>
          <w:top w:val="single" w:sz="4" w:space="0" w:color="4374B8"/>
          <w:left w:val="single" w:sz="4" w:space="0" w:color="4374B8"/>
          <w:bottom w:val="single" w:sz="4" w:space="0" w:color="4374B8"/>
          <w:right w:val="single" w:sz="4" w:space="0" w:color="4374B8"/>
          <w:insideH w:val="single" w:sz="4" w:space="0" w:color="4374B8"/>
          <w:insideV w:val="single" w:sz="4" w:space="0" w:color="4374B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53"/>
      </w:tblGrid>
      <w:tr>
        <w:trPr>
          <w:trHeight w:val="217" w:hRule="atLeast"/>
        </w:trPr>
        <w:tc>
          <w:tcPr>
            <w:tcW w:w="99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91" w:lineRule="exact"/>
              <w:ind w:left="115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Εξέλιξη</w:t>
            </w:r>
            <w:r>
              <w:rPr>
                <w:rFonts w:ascii="Tahoma" w:hAnsi="Tahoma"/>
                <w:b/>
                <w:spacing w:val="-4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Κεφαλαιακής</w:t>
            </w:r>
            <w:r>
              <w:rPr>
                <w:rFonts w:ascii="Tahoma" w:hAnsi="Tahoma"/>
                <w:b/>
                <w:spacing w:val="-3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Επάρκειας</w:t>
            </w:r>
            <w:r>
              <w:rPr>
                <w:rFonts w:ascii="Tahoma" w:hAnsi="Tahoma"/>
                <w:b/>
                <w:spacing w:val="-4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(ανά</w:t>
            </w:r>
            <w:r>
              <w:rPr>
                <w:rFonts w:ascii="Tahoma" w:hAnsi="Tahoma"/>
                <w:b/>
                <w:spacing w:val="-4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τρίμηνο)</w:t>
            </w:r>
          </w:p>
        </w:tc>
      </w:tr>
      <w:tr>
        <w:trPr>
          <w:trHeight w:val="3089" w:hRule="atLeast"/>
        </w:trPr>
        <w:tc>
          <w:tcPr>
            <w:tcW w:w="9953" w:type="dxa"/>
          </w:tcPr>
          <w:p>
            <w:pPr>
              <w:pStyle w:val="TableParagraph"/>
              <w:spacing w:before="28"/>
              <w:rPr>
                <w:sz w:val="14"/>
              </w:rPr>
            </w:pPr>
          </w:p>
          <w:p>
            <w:pPr>
              <w:pStyle w:val="TableParagraph"/>
              <w:ind w:left="46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16768">
                      <wp:simplePos x="0" y="0"/>
                      <wp:positionH relativeFrom="column">
                        <wp:posOffset>63097</wp:posOffset>
                      </wp:positionH>
                      <wp:positionV relativeFrom="paragraph">
                        <wp:posOffset>227328</wp:posOffset>
                      </wp:positionV>
                      <wp:extent cx="6089015" cy="1439545"/>
                      <wp:effectExtent l="0" t="0" r="0" b="0"/>
                      <wp:wrapNone/>
                      <wp:docPr id="228" name="Group 2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8" name="Group 228"/>
                            <wpg:cNvGrpSpPr/>
                            <wpg:grpSpPr>
                              <a:xfrm>
                                <a:off x="0" y="0"/>
                                <a:ext cx="6089015" cy="1439545"/>
                                <a:chExt cx="6089015" cy="1439545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589298" y="2743"/>
                                  <a:ext cx="2974975" cy="1434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4975" h="1434465">
                                      <a:moveTo>
                                        <a:pt x="0" y="238987"/>
                                      </a:moveTo>
                                      <a:lnTo>
                                        <a:pt x="4285" y="190817"/>
                                      </a:lnTo>
                                      <a:lnTo>
                                        <a:pt x="16575" y="145954"/>
                                      </a:lnTo>
                                      <a:lnTo>
                                        <a:pt x="36023" y="105358"/>
                                      </a:lnTo>
                                      <a:lnTo>
                                        <a:pt x="61779" y="69990"/>
                                      </a:lnTo>
                                      <a:lnTo>
                                        <a:pt x="92996" y="40809"/>
                                      </a:lnTo>
                                      <a:lnTo>
                                        <a:pt x="128825" y="18777"/>
                                      </a:lnTo>
                                      <a:lnTo>
                                        <a:pt x="168419" y="4854"/>
                                      </a:lnTo>
                                      <a:lnTo>
                                        <a:pt x="210928" y="0"/>
                                      </a:lnTo>
                                      <a:lnTo>
                                        <a:pt x="2763963" y="0"/>
                                      </a:lnTo>
                                      <a:lnTo>
                                        <a:pt x="2806471" y="4854"/>
                                      </a:lnTo>
                                      <a:lnTo>
                                        <a:pt x="2846061" y="18777"/>
                                      </a:lnTo>
                                      <a:lnTo>
                                        <a:pt x="2881885" y="40809"/>
                                      </a:lnTo>
                                      <a:lnTo>
                                        <a:pt x="2913095" y="69990"/>
                                      </a:lnTo>
                                      <a:lnTo>
                                        <a:pt x="2938846" y="105358"/>
                                      </a:lnTo>
                                      <a:lnTo>
                                        <a:pt x="2958288" y="145954"/>
                                      </a:lnTo>
                                      <a:lnTo>
                                        <a:pt x="2970575" y="190817"/>
                                      </a:lnTo>
                                      <a:lnTo>
                                        <a:pt x="2974859" y="238987"/>
                                      </a:lnTo>
                                      <a:lnTo>
                                        <a:pt x="2974859" y="1194929"/>
                                      </a:lnTo>
                                      <a:lnTo>
                                        <a:pt x="2970575" y="1243095"/>
                                      </a:lnTo>
                                      <a:lnTo>
                                        <a:pt x="2958288" y="1287957"/>
                                      </a:lnTo>
                                      <a:lnTo>
                                        <a:pt x="2938846" y="1328553"/>
                                      </a:lnTo>
                                      <a:lnTo>
                                        <a:pt x="2913096" y="1363923"/>
                                      </a:lnTo>
                                      <a:lnTo>
                                        <a:pt x="2881885" y="1393106"/>
                                      </a:lnTo>
                                      <a:lnTo>
                                        <a:pt x="2846061" y="1415141"/>
                                      </a:lnTo>
                                      <a:lnTo>
                                        <a:pt x="2806471" y="1429066"/>
                                      </a:lnTo>
                                      <a:lnTo>
                                        <a:pt x="2763963" y="1433921"/>
                                      </a:lnTo>
                                      <a:lnTo>
                                        <a:pt x="210928" y="1433921"/>
                                      </a:lnTo>
                                      <a:lnTo>
                                        <a:pt x="168419" y="1429066"/>
                                      </a:lnTo>
                                      <a:lnTo>
                                        <a:pt x="128825" y="1415141"/>
                                      </a:lnTo>
                                      <a:lnTo>
                                        <a:pt x="92996" y="1393106"/>
                                      </a:lnTo>
                                      <a:lnTo>
                                        <a:pt x="61779" y="1363923"/>
                                      </a:lnTo>
                                      <a:lnTo>
                                        <a:pt x="36023" y="1328553"/>
                                      </a:lnTo>
                                      <a:lnTo>
                                        <a:pt x="16575" y="1287957"/>
                                      </a:lnTo>
                                      <a:lnTo>
                                        <a:pt x="4285" y="1243095"/>
                                      </a:lnTo>
                                      <a:lnTo>
                                        <a:pt x="0" y="1194929"/>
                                      </a:lnTo>
                                      <a:lnTo>
                                        <a:pt x="0" y="2389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463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405487" y="216401"/>
                                  <a:ext cx="466852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8520" h="86995">
                                      <a:moveTo>
                                        <a:pt x="609053" y="16985"/>
                                      </a:moveTo>
                                      <a:lnTo>
                                        <a:pt x="1015001" y="16985"/>
                                      </a:lnTo>
                                    </a:path>
                                    <a:path w="4668520" h="86995">
                                      <a:moveTo>
                                        <a:pt x="1827094" y="8939"/>
                                      </a:moveTo>
                                      <a:lnTo>
                                        <a:pt x="2233042" y="8939"/>
                                      </a:lnTo>
                                    </a:path>
                                    <a:path w="4668520" h="86995">
                                      <a:moveTo>
                                        <a:pt x="1218074" y="0"/>
                                      </a:moveTo>
                                      <a:lnTo>
                                        <a:pt x="1623956" y="0"/>
                                      </a:lnTo>
                                    </a:path>
                                    <a:path w="4668520" h="86995">
                                      <a:moveTo>
                                        <a:pt x="4262322" y="84926"/>
                                      </a:moveTo>
                                      <a:lnTo>
                                        <a:pt x="4668270" y="84926"/>
                                      </a:lnTo>
                                    </a:path>
                                    <a:path w="4668520" h="86995">
                                      <a:moveTo>
                                        <a:pt x="3654090" y="61683"/>
                                      </a:moveTo>
                                      <a:lnTo>
                                        <a:pt x="4060038" y="61683"/>
                                      </a:lnTo>
                                    </a:path>
                                    <a:path w="4668520" h="86995">
                                      <a:moveTo>
                                        <a:pt x="0" y="86714"/>
                                      </a:moveTo>
                                      <a:lnTo>
                                        <a:pt x="405980" y="86714"/>
                                      </a:lnTo>
                                    </a:path>
                                    <a:path w="4668520" h="86995">
                                      <a:moveTo>
                                        <a:pt x="3045135" y="54532"/>
                                      </a:moveTo>
                                      <a:lnTo>
                                        <a:pt x="3451083" y="54532"/>
                                      </a:lnTo>
                                    </a:path>
                                    <a:path w="4668520" h="86995">
                                      <a:moveTo>
                                        <a:pt x="2436049" y="49168"/>
                                      </a:moveTo>
                                      <a:lnTo>
                                        <a:pt x="2841997" y="49168"/>
                                      </a:lnTo>
                                    </a:path>
                                  </a:pathLst>
                                </a:custGeom>
                                <a:ln w="1752">
                                  <a:solidFill>
                                    <a:srgbClr val="000000"/>
                                  </a:solidFill>
                                  <a:prstDash val="lg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3247025" y="265569"/>
                                  <a:ext cx="203835" cy="5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835" h="5715">
                                      <a:moveTo>
                                        <a:pt x="2035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363"/>
                                      </a:lnTo>
                                      <a:lnTo>
                                        <a:pt x="203532" y="5363"/>
                                      </a:lnTo>
                                      <a:lnTo>
                                        <a:pt x="203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8E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202738" y="215519"/>
                                  <a:ext cx="5683250" cy="791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83250" h="791210">
                                      <a:moveTo>
                                        <a:pt x="202742" y="87604"/>
                                      </a:moveTo>
                                      <a:lnTo>
                                        <a:pt x="0" y="87604"/>
                                      </a:lnTo>
                                      <a:lnTo>
                                        <a:pt x="0" y="791159"/>
                                      </a:lnTo>
                                      <a:lnTo>
                                        <a:pt x="202742" y="791159"/>
                                      </a:lnTo>
                                      <a:lnTo>
                                        <a:pt x="202742" y="87604"/>
                                      </a:lnTo>
                                      <a:close/>
                                    </a:path>
                                    <a:path w="5683250" h="791210">
                                      <a:moveTo>
                                        <a:pt x="811796" y="17868"/>
                                      </a:moveTo>
                                      <a:lnTo>
                                        <a:pt x="609053" y="17868"/>
                                      </a:lnTo>
                                      <a:lnTo>
                                        <a:pt x="609053" y="87604"/>
                                      </a:lnTo>
                                      <a:lnTo>
                                        <a:pt x="811796" y="87604"/>
                                      </a:lnTo>
                                      <a:lnTo>
                                        <a:pt x="811796" y="17868"/>
                                      </a:lnTo>
                                      <a:close/>
                                    </a:path>
                                    <a:path w="5683250" h="791210">
                                      <a:moveTo>
                                        <a:pt x="1420812" y="0"/>
                                      </a:moveTo>
                                      <a:lnTo>
                                        <a:pt x="1218069" y="0"/>
                                      </a:lnTo>
                                      <a:lnTo>
                                        <a:pt x="1218069" y="17868"/>
                                      </a:lnTo>
                                      <a:lnTo>
                                        <a:pt x="1420812" y="17868"/>
                                      </a:lnTo>
                                      <a:lnTo>
                                        <a:pt x="1420812" y="0"/>
                                      </a:lnTo>
                                      <a:close/>
                                    </a:path>
                                    <a:path w="5683250" h="791210">
                                      <a:moveTo>
                                        <a:pt x="5074082" y="85813"/>
                                      </a:moveTo>
                                      <a:lnTo>
                                        <a:pt x="4871339" y="85813"/>
                                      </a:lnTo>
                                      <a:lnTo>
                                        <a:pt x="4871339" y="791159"/>
                                      </a:lnTo>
                                      <a:lnTo>
                                        <a:pt x="5074082" y="791159"/>
                                      </a:lnTo>
                                      <a:lnTo>
                                        <a:pt x="5074082" y="85813"/>
                                      </a:lnTo>
                                      <a:close/>
                                    </a:path>
                                    <a:path w="5683250" h="791210">
                                      <a:moveTo>
                                        <a:pt x="5683110" y="134086"/>
                                      </a:moveTo>
                                      <a:lnTo>
                                        <a:pt x="5480367" y="134086"/>
                                      </a:lnTo>
                                      <a:lnTo>
                                        <a:pt x="5480367" y="791159"/>
                                      </a:lnTo>
                                      <a:lnTo>
                                        <a:pt x="5683110" y="791159"/>
                                      </a:lnTo>
                                      <a:lnTo>
                                        <a:pt x="5683110" y="1340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3856111" y="270933"/>
                                  <a:ext cx="20383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835" h="8255">
                                      <a:moveTo>
                                        <a:pt x="2035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45"/>
                                      </a:lnTo>
                                      <a:lnTo>
                                        <a:pt x="203532" y="8045"/>
                                      </a:lnTo>
                                      <a:lnTo>
                                        <a:pt x="203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8E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3856111" y="270933"/>
                                  <a:ext cx="203835" cy="8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835" h="8255">
                                      <a:moveTo>
                                        <a:pt x="0" y="8045"/>
                                      </a:moveTo>
                                      <a:lnTo>
                                        <a:pt x="203532" y="8045"/>
                                      </a:lnTo>
                                      <a:lnTo>
                                        <a:pt x="2035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586">
                                  <a:solidFill>
                                    <a:srgbClr val="8E8E8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4465066" y="278979"/>
                                  <a:ext cx="20320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22860">
                                      <a:moveTo>
                                        <a:pt x="2027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349"/>
                                      </a:lnTo>
                                      <a:lnTo>
                                        <a:pt x="202743" y="22349"/>
                                      </a:lnTo>
                                      <a:lnTo>
                                        <a:pt x="2027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8E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4465066" y="278979"/>
                                  <a:ext cx="20320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22860">
                                      <a:moveTo>
                                        <a:pt x="0" y="22349"/>
                                      </a:moveTo>
                                      <a:lnTo>
                                        <a:pt x="202743" y="22349"/>
                                      </a:lnTo>
                                      <a:lnTo>
                                        <a:pt x="2027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3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579">
                                  <a:solidFill>
                                    <a:srgbClr val="8E8E8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2029837" y="215519"/>
                                  <a:ext cx="1421130" cy="55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1130" h="55880">
                                      <a:moveTo>
                                        <a:pt x="2027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829"/>
                                      </a:lnTo>
                                      <a:lnTo>
                                        <a:pt x="202742" y="9829"/>
                                      </a:lnTo>
                                      <a:lnTo>
                                        <a:pt x="202742" y="0"/>
                                      </a:lnTo>
                                      <a:close/>
                                    </a:path>
                                    <a:path w="1421130" h="55880">
                                      <a:moveTo>
                                        <a:pt x="811695" y="9829"/>
                                      </a:moveTo>
                                      <a:lnTo>
                                        <a:pt x="608228" y="9829"/>
                                      </a:lnTo>
                                      <a:lnTo>
                                        <a:pt x="608228" y="50050"/>
                                      </a:lnTo>
                                      <a:lnTo>
                                        <a:pt x="811695" y="50050"/>
                                      </a:lnTo>
                                      <a:lnTo>
                                        <a:pt x="811695" y="9829"/>
                                      </a:lnTo>
                                      <a:close/>
                                    </a:path>
                                    <a:path w="1421130" h="55880">
                                      <a:moveTo>
                                        <a:pt x="1420774" y="50050"/>
                                      </a:moveTo>
                                      <a:lnTo>
                                        <a:pt x="1217180" y="50050"/>
                                      </a:lnTo>
                                      <a:lnTo>
                                        <a:pt x="1217180" y="55422"/>
                                      </a:lnTo>
                                      <a:lnTo>
                                        <a:pt x="1420774" y="55422"/>
                                      </a:lnTo>
                                      <a:lnTo>
                                        <a:pt x="1420774" y="500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E8E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0" y="1006669"/>
                                  <a:ext cx="6089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9015" h="0">
                                      <a:moveTo>
                                        <a:pt x="0" y="0"/>
                                      </a:moveTo>
                                      <a:lnTo>
                                        <a:pt x="6088595" y="0"/>
                                      </a:lnTo>
                                    </a:path>
                                  </a:pathLst>
                                </a:custGeom>
                                <a:ln w="558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912774" y="201204"/>
                                  <a:ext cx="3653790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3790" h="115570">
                                      <a:moveTo>
                                        <a:pt x="3044248" y="91929"/>
                                      </a:moveTo>
                                      <a:lnTo>
                                        <a:pt x="3044314" y="73305"/>
                                      </a:lnTo>
                                    </a:path>
                                    <a:path w="3653790" h="115570">
                                      <a:moveTo>
                                        <a:pt x="0" y="17879"/>
                                      </a:moveTo>
                                      <a:lnTo>
                                        <a:pt x="0" y="67196"/>
                                      </a:lnTo>
                                    </a:path>
                                    <a:path w="3653790" h="115570">
                                      <a:moveTo>
                                        <a:pt x="3653334" y="115470"/>
                                      </a:moveTo>
                                      <a:lnTo>
                                        <a:pt x="3653334" y="89396"/>
                                      </a:lnTo>
                                    </a:path>
                                    <a:path w="3653790" h="115570">
                                      <a:moveTo>
                                        <a:pt x="609020" y="0"/>
                                      </a:moveTo>
                                      <a:lnTo>
                                        <a:pt x="609020" y="23243"/>
                                      </a:lnTo>
                                    </a:path>
                                    <a:path w="3653790" h="115570">
                                      <a:moveTo>
                                        <a:pt x="1218041" y="39185"/>
                                      </a:moveTo>
                                      <a:lnTo>
                                        <a:pt x="1218041" y="19667"/>
                                      </a:lnTo>
                                    </a:path>
                                    <a:path w="3653790" h="115570">
                                      <a:moveTo>
                                        <a:pt x="1826996" y="79116"/>
                                      </a:moveTo>
                                      <a:lnTo>
                                        <a:pt x="1827061" y="44698"/>
                                      </a:lnTo>
                                    </a:path>
                                    <a:path w="3653790" h="115570">
                                      <a:moveTo>
                                        <a:pt x="2436016" y="84703"/>
                                      </a:moveTo>
                                      <a:lnTo>
                                        <a:pt x="2436082" y="67047"/>
                                      </a:lnTo>
                                    </a:path>
                                  </a:pathLst>
                                </a:custGeom>
                                <a:ln w="35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181440" y="600812"/>
                                  <a:ext cx="572579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25795" h="131445">
                                      <a:moveTo>
                                        <a:pt x="245338" y="901"/>
                                      </a:moveTo>
                                      <a:lnTo>
                                        <a:pt x="0" y="901"/>
                                      </a:lnTo>
                                      <a:lnTo>
                                        <a:pt x="0" y="108165"/>
                                      </a:lnTo>
                                      <a:lnTo>
                                        <a:pt x="245338" y="108165"/>
                                      </a:lnTo>
                                      <a:lnTo>
                                        <a:pt x="245338" y="901"/>
                                      </a:lnTo>
                                      <a:close/>
                                    </a:path>
                                    <a:path w="5725795" h="131445">
                                      <a:moveTo>
                                        <a:pt x="5116677" y="0"/>
                                      </a:moveTo>
                                      <a:lnTo>
                                        <a:pt x="4871339" y="0"/>
                                      </a:lnTo>
                                      <a:lnTo>
                                        <a:pt x="4871339" y="107276"/>
                                      </a:lnTo>
                                      <a:lnTo>
                                        <a:pt x="5116677" y="107276"/>
                                      </a:lnTo>
                                      <a:lnTo>
                                        <a:pt x="5116677" y="0"/>
                                      </a:lnTo>
                                      <a:close/>
                                    </a:path>
                                    <a:path w="5725795" h="131445">
                                      <a:moveTo>
                                        <a:pt x="5725706" y="24142"/>
                                      </a:moveTo>
                                      <a:lnTo>
                                        <a:pt x="5480355" y="24142"/>
                                      </a:lnTo>
                                      <a:lnTo>
                                        <a:pt x="5480355" y="131419"/>
                                      </a:lnTo>
                                      <a:lnTo>
                                        <a:pt x="5725706" y="131419"/>
                                      </a:lnTo>
                                      <a:lnTo>
                                        <a:pt x="5725706" y="241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968320pt;margin-top:17.8999pt;width:479.45pt;height:113.35pt;mso-position-horizontal-relative:column;mso-position-vertical-relative:paragraph;z-index:-18099712" id="docshapegroup210" coordorigin="99,358" coordsize="9589,2267">
                      <v:shape style="position:absolute;left:1027;top:362;width:4685;height:2259" id="docshape211" coordorigin="1027,362" coordsize="4685,2259" path="m1027,739l1034,663,1053,592,1084,528,1125,473,1174,427,1230,392,1293,370,1360,362,5380,362,5447,370,5509,392,5566,427,5615,473,5655,528,5686,592,5705,663,5712,739,5712,2244,5705,2320,5686,2391,5655,2455,5615,2510,5566,2556,5509,2591,5447,2613,5380,2620,1360,2620,1293,2613,1230,2591,1174,2556,1125,2510,1084,2455,1053,2391,1034,2320,1027,2244,1027,739xe" filled="false" stroked="true" strokeweight=".430195pt" strokecolor="#000000">
                        <v:path arrowok="t"/>
                        <v:stroke dashstyle="shortdash"/>
                      </v:shape>
                      <v:shape style="position:absolute;left:737;top:698;width:7352;height:137" id="docshape212" coordorigin="738,699" coordsize="7352,137" path="m1697,726l2336,726m3615,713l4255,713m2656,699l3295,699m7450,833l8090,833m6492,796l7132,796m738,835l1377,835m5533,785l6173,785m4574,776l5214,776e" filled="false" stroked="true" strokeweight=".138029pt" strokecolor="#000000">
                        <v:path arrowok="t"/>
                        <v:stroke dashstyle="longdash"/>
                      </v:shape>
                      <v:rect style="position:absolute;left:5212;top:776;width:321;height:9" id="docshape213" filled="true" fillcolor="#8e8e8e" stroked="false">
                        <v:fill type="solid"/>
                      </v:rect>
                      <v:shape style="position:absolute;left:418;top:697;width:8950;height:1246" id="docshape214" coordorigin="419,697" coordsize="8950,1246" path="m738,835l419,835,419,1943,738,1943,738,835xm1697,726l1378,726,1378,835,1697,835,1697,726xm2656,697l2337,697,2337,726,2656,726,2656,697xm8409,833l8090,833,8090,1943,8409,1943,8409,833xm9368,909l9049,909,9049,1943,9368,1943,9368,909xe" filled="true" fillcolor="#c5d9f0" stroked="false">
                        <v:path arrowok="t"/>
                        <v:fill type="solid"/>
                      </v:shape>
                      <v:rect style="position:absolute;left:6171;top:784;width:321;height:13" id="docshape215" filled="true" fillcolor="#8e8e8e" stroked="false">
                        <v:fill type="solid"/>
                      </v:rect>
                      <v:rect style="position:absolute;left:6171;top:784;width:321;height:13" id="docshape216" filled="false" stroked="true" strokeweight=".439864pt" strokecolor="#8e8e8e">
                        <v:stroke dashstyle="solid"/>
                      </v:rect>
                      <v:rect style="position:absolute;left:7130;top:797;width:320;height:36" id="docshape217" filled="true" fillcolor="#8e8e8e" stroked="false">
                        <v:fill type="solid"/>
                      </v:rect>
                      <v:rect style="position:absolute;left:7130;top:797;width:320;height:36" id="docshape218" filled="false" stroked="true" strokeweight=".439324pt" strokecolor="#8e8e8e">
                        <v:stroke dashstyle="solid"/>
                      </v:rect>
                      <v:shape style="position:absolute;left:3295;top:697;width:2238;height:88" id="docshape219" coordorigin="3296,697" coordsize="2238,88" path="m3615,697l3296,697,3296,713,3615,713,3615,697xm4574,713l4254,713,4254,776,4574,776,4574,713xm5533,776l5213,776,5213,785,5533,785,5533,776xe" filled="true" fillcolor="#8e8e8e" stroked="false">
                        <v:path arrowok="t"/>
                        <v:fill type="solid"/>
                      </v:shape>
                      <v:line style="position:absolute" from="99,1943" to="9688,1943" stroked="true" strokeweight=".439945pt" strokecolor="#000000">
                        <v:stroke dashstyle="solid"/>
                      </v:line>
                      <v:shape style="position:absolute;left:1536;top:674;width:5754;height:182" id="docshape220" coordorigin="1537,675" coordsize="5754,182" path="m6331,820l6331,790m1537,703l1537,781m7290,857l7290,816m2496,675l2496,711m3455,737l3455,706m4414,799l4414,745m5373,808l5373,780e" filled="false" stroked="true" strokeweight=".276059pt" strokecolor="#000000">
                        <v:path arrowok="t"/>
                        <v:stroke dashstyle="solid"/>
                      </v:shape>
                      <v:shape style="position:absolute;left:385;top:1304;width:9017;height:207" id="docshape221" coordorigin="385,1304" coordsize="9017,207" path="m771,1306l385,1306,385,1474,771,1474,771,1306xm8443,1304l8057,1304,8057,1473,8443,1473,8443,1304xm9402,1342l9016,1342,9016,1511,9402,1511,9402,1342xe" filled="true" fillcolor="#c5d9f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11366B"/>
                <w:spacing w:val="-4"/>
                <w:sz w:val="14"/>
              </w:rPr>
              <w:t>CET1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tabs>
                <w:tab w:pos="2354" w:val="left" w:leader="none"/>
              </w:tabs>
              <w:ind w:left="1395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position w:val="-2"/>
                <w:sz w:val="14"/>
              </w:rPr>
              <w:t>1.5%</w:t>
            </w:r>
            <w:r>
              <w:rPr>
                <w:rFonts w:ascii="Arial MT"/>
                <w:position w:val="-2"/>
                <w:sz w:val="14"/>
              </w:rPr>
              <w:tab/>
            </w:r>
            <w:r>
              <w:rPr>
                <w:rFonts w:ascii="Arial MT"/>
                <w:spacing w:val="-4"/>
                <w:sz w:val="14"/>
              </w:rPr>
              <w:t>0.4%</w:t>
            </w:r>
          </w:p>
          <w:p>
            <w:pPr>
              <w:pStyle w:val="TableParagraph"/>
              <w:tabs>
                <w:tab w:pos="4230" w:val="left" w:leader="none"/>
                <w:tab w:pos="5190" w:val="left" w:leader="none"/>
                <w:tab w:pos="6149" w:val="left" w:leader="none"/>
                <w:tab w:pos="7108" w:val="left" w:leader="none"/>
              </w:tabs>
              <w:spacing w:before="45"/>
              <w:ind w:left="3272"/>
              <w:rPr>
                <w:rFonts w:ascii="Arial MT"/>
                <w:position w:val="-3"/>
                <w:sz w:val="14"/>
              </w:rPr>
            </w:pPr>
            <w:r>
              <w:rPr>
                <w:rFonts w:ascii="Arial MT"/>
                <w:spacing w:val="-2"/>
                <w:position w:val="8"/>
                <w:sz w:val="14"/>
              </w:rPr>
              <w:t>(0.2%)</w:t>
            </w:r>
            <w:r>
              <w:rPr>
                <w:rFonts w:ascii="Arial MT"/>
                <w:position w:val="8"/>
                <w:sz w:val="14"/>
              </w:rPr>
              <w:tab/>
            </w:r>
            <w:r>
              <w:rPr>
                <w:rFonts w:ascii="Arial MT"/>
                <w:spacing w:val="-2"/>
                <w:position w:val="2"/>
                <w:sz w:val="14"/>
              </w:rPr>
              <w:t>(0.9%)</w:t>
            </w:r>
            <w:r>
              <w:rPr>
                <w:rFonts w:ascii="Arial MT"/>
                <w:position w:val="2"/>
                <w:sz w:val="14"/>
              </w:rPr>
              <w:tab/>
            </w:r>
            <w:r>
              <w:rPr>
                <w:rFonts w:ascii="Arial MT"/>
                <w:spacing w:val="-2"/>
                <w:position w:val="1"/>
                <w:sz w:val="14"/>
              </w:rPr>
              <w:t>(0.1%)</w:t>
            </w:r>
            <w:r>
              <w:rPr>
                <w:rFonts w:ascii="Arial MT"/>
                <w:position w:val="1"/>
                <w:sz w:val="14"/>
              </w:rPr>
              <w:tab/>
            </w:r>
            <w:r>
              <w:rPr>
                <w:rFonts w:ascii="Arial MT"/>
                <w:spacing w:val="-2"/>
                <w:sz w:val="14"/>
              </w:rPr>
              <w:t>(0.2%)</w:t>
            </w:r>
            <w:r>
              <w:rPr>
                <w:rFonts w:ascii="Arial MT"/>
                <w:sz w:val="14"/>
              </w:rPr>
              <w:tab/>
            </w:r>
            <w:r>
              <w:rPr>
                <w:rFonts w:ascii="Arial MT"/>
                <w:spacing w:val="-2"/>
                <w:position w:val="-3"/>
                <w:sz w:val="14"/>
              </w:rPr>
              <w:t>(0.5%)</w:t>
            </w:r>
          </w:p>
          <w:p>
            <w:pPr>
              <w:pStyle w:val="TableParagraph"/>
              <w:spacing w:before="83"/>
              <w:rPr>
                <w:sz w:val="14"/>
              </w:rPr>
            </w:pPr>
          </w:p>
          <w:p>
            <w:pPr>
              <w:pStyle w:val="TableParagraph"/>
              <w:tabs>
                <w:tab w:pos="2616" w:val="left" w:leader="none"/>
                <w:tab w:pos="8073" w:val="left" w:leader="none"/>
                <w:tab w:pos="9032" w:val="left" w:leader="none"/>
              </w:tabs>
              <w:spacing w:line="148" w:lineRule="auto"/>
              <w:ind w:left="401"/>
              <w:rPr>
                <w:rFonts w:ascii="Arial MT" w:hAnsi="Arial MT"/>
                <w:position w:val="-7"/>
                <w:sz w:val="14"/>
              </w:rPr>
            </w:pPr>
            <w:r>
              <w:rPr>
                <w:rFonts w:ascii="Arial MT" w:hAnsi="Arial MT"/>
                <w:spacing w:val="-2"/>
                <w:w w:val="95"/>
                <w:position w:val="-4"/>
                <w:sz w:val="14"/>
              </w:rPr>
              <w:t>15.4%</w:t>
            </w:r>
            <w:r>
              <w:rPr>
                <w:rFonts w:ascii="Arial MT" w:hAnsi="Arial MT"/>
                <w:position w:val="-4"/>
                <w:sz w:val="14"/>
              </w:rPr>
              <w:tab/>
            </w:r>
            <w:r>
              <w:rPr>
                <w:i/>
                <w:color w:val="7E7E7E"/>
                <w:w w:val="80"/>
                <w:sz w:val="14"/>
              </w:rPr>
              <w:t>0,7%</w:t>
            </w:r>
            <w:r>
              <w:rPr>
                <w:i/>
                <w:color w:val="7E7E7E"/>
                <w:spacing w:val="1"/>
                <w:sz w:val="14"/>
              </w:rPr>
              <w:t> </w:t>
            </w:r>
            <w:r>
              <w:rPr>
                <w:i/>
                <w:color w:val="7E7E7E"/>
                <w:w w:val="80"/>
                <w:sz w:val="14"/>
              </w:rPr>
              <w:t>Οργανική</w:t>
            </w:r>
            <w:r>
              <w:rPr>
                <w:i/>
                <w:color w:val="7E7E7E"/>
                <w:spacing w:val="-3"/>
                <w:w w:val="80"/>
                <w:sz w:val="14"/>
              </w:rPr>
              <w:t> </w:t>
            </w:r>
            <w:r>
              <w:rPr>
                <w:i/>
                <w:color w:val="7E7E7E"/>
                <w:spacing w:val="-2"/>
                <w:w w:val="80"/>
                <w:sz w:val="14"/>
              </w:rPr>
              <w:t>Δημιουργία</w:t>
            </w:r>
            <w:r>
              <w:rPr>
                <w:i/>
                <w:color w:val="7E7E7E"/>
                <w:sz w:val="14"/>
              </w:rPr>
              <w:tab/>
            </w:r>
            <w:r>
              <w:rPr>
                <w:rFonts w:ascii="Arial MT" w:hAnsi="Arial MT"/>
                <w:spacing w:val="-4"/>
                <w:w w:val="95"/>
                <w:position w:val="-3"/>
                <w:sz w:val="14"/>
              </w:rPr>
              <w:t>15.4%</w:t>
            </w:r>
            <w:r>
              <w:rPr>
                <w:rFonts w:ascii="Arial MT" w:hAnsi="Arial MT"/>
                <w:position w:val="-3"/>
                <w:sz w:val="14"/>
              </w:rPr>
              <w:tab/>
            </w:r>
            <w:r>
              <w:rPr>
                <w:rFonts w:ascii="Arial MT" w:hAnsi="Arial MT"/>
                <w:spacing w:val="-4"/>
                <w:w w:val="95"/>
                <w:position w:val="-7"/>
                <w:sz w:val="14"/>
              </w:rPr>
              <w:t>14.3%</w:t>
            </w:r>
          </w:p>
          <w:p>
            <w:pPr>
              <w:pStyle w:val="TableParagraph"/>
              <w:spacing w:line="129" w:lineRule="exact"/>
              <w:ind w:left="3083"/>
              <w:rPr>
                <w:i/>
                <w:sz w:val="14"/>
              </w:rPr>
            </w:pPr>
            <w:r>
              <w:rPr>
                <w:i/>
                <w:color w:val="7E7E7E"/>
                <w:spacing w:val="-2"/>
                <w:w w:val="95"/>
                <w:sz w:val="14"/>
              </w:rPr>
              <w:t>Κεφαλαίων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4"/>
              <w:rPr>
                <w:sz w:val="14"/>
              </w:rPr>
            </w:pPr>
          </w:p>
          <w:p>
            <w:pPr>
              <w:pStyle w:val="TableParagraph"/>
              <w:tabs>
                <w:tab w:pos="1081" w:val="left" w:leader="none"/>
                <w:tab w:pos="2370" w:val="left" w:leader="none"/>
                <w:tab w:pos="3326" w:val="left" w:leader="none"/>
                <w:tab w:pos="4237" w:val="left" w:leader="none"/>
                <w:tab w:pos="5258" w:val="left" w:leader="none"/>
                <w:tab w:pos="5878" w:val="left" w:leader="none"/>
                <w:tab w:pos="6109" w:val="left" w:leader="none"/>
                <w:tab w:pos="7155" w:val="left" w:leader="none"/>
                <w:tab w:pos="8042" w:val="left" w:leader="none"/>
                <w:tab w:pos="8922" w:val="left" w:leader="none"/>
                <w:tab w:pos="9002" w:val="left" w:leader="none"/>
              </w:tabs>
              <w:spacing w:line="252" w:lineRule="auto" w:before="1"/>
              <w:ind w:left="1275" w:right="445" w:hanging="889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sz w:val="14"/>
              </w:rPr>
              <w:t>Δεκ</w:t>
            </w:r>
            <w:r>
              <w:rPr>
                <w:rFonts w:ascii="Arial MT" w:hAnsi="Arial MT"/>
                <w:spacing w:val="-2"/>
                <w:sz w:val="14"/>
              </w:rPr>
              <w:t>-25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Microsoft Sans Serif" w:hAnsi="Microsoft Sans Serif"/>
                <w:sz w:val="14"/>
              </w:rPr>
              <w:t>Α’ εξάμηνο 2026</w:t>
              <w:tab/>
            </w:r>
            <w:r>
              <w:rPr>
                <w:rFonts w:ascii="Arial MT" w:hAnsi="Arial MT"/>
                <w:spacing w:val="-4"/>
                <w:sz w:val="14"/>
              </w:rPr>
              <w:t>DTA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Arial MT" w:hAnsi="Arial MT"/>
                <w:spacing w:val="-4"/>
                <w:sz w:val="14"/>
              </w:rPr>
              <w:t>DTC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Arial MT" w:hAnsi="Arial MT"/>
                <w:spacing w:val="-4"/>
                <w:sz w:val="14"/>
              </w:rPr>
              <w:t>RWAs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Arial MT" w:hAnsi="Arial MT"/>
                <w:spacing w:val="-4"/>
                <w:sz w:val="14"/>
              </w:rPr>
              <w:t>AT1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Microsoft Sans Serif" w:hAnsi="Microsoft Sans Serif"/>
                <w:sz w:val="14"/>
              </w:rPr>
              <w:t>Λοιπά Εποπτικά</w:t>
            </w:r>
            <w:r>
              <w:rPr>
                <w:rFonts w:ascii="Microsoft Sans Serif" w:hAnsi="Microsoft Sans Serif"/>
                <w:spacing w:val="80"/>
                <w:w w:val="150"/>
                <w:sz w:val="14"/>
              </w:rPr>
              <w:t> </w:t>
            </w:r>
            <w:r>
              <w:rPr>
                <w:rFonts w:ascii="Microsoft Sans Serif" w:hAnsi="Microsoft Sans Serif"/>
                <w:sz w:val="14"/>
              </w:rPr>
              <w:t>Συναλλαγές</w:t>
              <w:tab/>
            </w:r>
            <w:r>
              <w:rPr>
                <w:rFonts w:ascii="Microsoft Sans Serif" w:hAnsi="Microsoft Sans Serif"/>
                <w:spacing w:val="-2"/>
                <w:sz w:val="14"/>
              </w:rPr>
              <w:t>Ιουν</w:t>
            </w:r>
            <w:r>
              <w:rPr>
                <w:rFonts w:ascii="Arial MT" w:hAnsi="Arial MT"/>
                <w:spacing w:val="-2"/>
                <w:sz w:val="14"/>
              </w:rPr>
              <w:t>-26</w:t>
            </w:r>
            <w:r>
              <w:rPr>
                <w:rFonts w:ascii="Arial MT" w:hAnsi="Arial MT"/>
                <w:sz w:val="14"/>
              </w:rPr>
              <w:tab/>
              <w:tab/>
            </w:r>
            <w:r>
              <w:rPr>
                <w:rFonts w:ascii="Microsoft Sans Serif" w:hAnsi="Microsoft Sans Serif"/>
                <w:spacing w:val="-2"/>
                <w:sz w:val="14"/>
              </w:rPr>
              <w:t>Ιουν</w:t>
            </w:r>
            <w:r>
              <w:rPr>
                <w:rFonts w:ascii="Arial MT" w:hAnsi="Arial MT"/>
                <w:spacing w:val="-2"/>
                <w:sz w:val="14"/>
              </w:rPr>
              <w:t>-26</w:t>
            </w:r>
            <w:r>
              <w:rPr>
                <w:rFonts w:ascii="Arial MT" w:hAnsi="Arial MT"/>
                <w:spacing w:val="40"/>
                <w:sz w:val="14"/>
              </w:rPr>
              <w:t> </w:t>
            </w:r>
            <w:r>
              <w:rPr>
                <w:rFonts w:ascii="Microsoft Sans Serif" w:hAnsi="Microsoft Sans Serif"/>
                <w:spacing w:val="-2"/>
                <w:sz w:val="14"/>
              </w:rPr>
              <w:t>Οργανική</w:t>
            </w:r>
            <w:r>
              <w:rPr>
                <w:rFonts w:ascii="Microsoft Sans Serif" w:hAnsi="Microsoft Sans Serif"/>
                <w:sz w:val="14"/>
              </w:rPr>
              <w:tab/>
              <w:tab/>
              <w:tab/>
              <w:tab/>
              <w:tab/>
              <w:tab/>
            </w:r>
            <w:r>
              <w:rPr>
                <w:rFonts w:ascii="Microsoft Sans Serif" w:hAnsi="Microsoft Sans Serif"/>
                <w:spacing w:val="-2"/>
                <w:sz w:val="14"/>
              </w:rPr>
              <w:t>στοιχεία</w:t>
            </w:r>
            <w:r>
              <w:rPr>
                <w:rFonts w:ascii="Microsoft Sans Serif" w:hAnsi="Microsoft Sans Serif"/>
                <w:sz w:val="14"/>
              </w:rPr>
              <w:tab/>
            </w:r>
            <w:r>
              <w:rPr>
                <w:rFonts w:ascii="Microsoft Sans Serif" w:hAnsi="Microsoft Sans Serif"/>
                <w:spacing w:val="-5"/>
                <w:sz w:val="14"/>
              </w:rPr>
              <w:t>ΜΕΑ</w:t>
            </w:r>
            <w:r>
              <w:rPr>
                <w:rFonts w:ascii="Microsoft Sans Serif" w:hAnsi="Microsoft Sans Serif"/>
                <w:sz w:val="14"/>
              </w:rPr>
              <w:tab/>
              <w:tab/>
            </w:r>
            <w:r>
              <w:rPr>
                <w:rFonts w:ascii="Microsoft Sans Serif" w:hAnsi="Microsoft Sans Serif"/>
                <w:spacing w:val="-2"/>
                <w:w w:val="90"/>
                <w:sz w:val="14"/>
              </w:rPr>
              <w:t>πρόβλεψη</w:t>
            </w:r>
          </w:p>
          <w:p>
            <w:pPr>
              <w:pStyle w:val="TableParagraph"/>
              <w:tabs>
                <w:tab w:pos="8896" w:val="left" w:leader="none"/>
              </w:tabs>
              <w:spacing w:before="3"/>
              <w:ind w:left="1203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pacing w:val="-2"/>
                <w:w w:val="95"/>
                <w:sz w:val="14"/>
              </w:rPr>
              <w:t>Κερδοφορία</w:t>
            </w:r>
            <w:r>
              <w:rPr>
                <w:rFonts w:ascii="Microsoft Sans Serif" w:hAnsi="Microsoft Sans Serif"/>
                <w:sz w:val="14"/>
              </w:rPr>
              <w:tab/>
            </w:r>
            <w:r>
              <w:rPr>
                <w:rFonts w:ascii="Microsoft Sans Serif" w:hAnsi="Microsoft Sans Serif"/>
                <w:spacing w:val="-2"/>
                <w:w w:val="95"/>
                <w:sz w:val="14"/>
              </w:rPr>
              <w:t>μερίσματος</w:t>
            </w:r>
          </w:p>
        </w:tc>
      </w:tr>
    </w:tbl>
    <w:p>
      <w:pPr>
        <w:pStyle w:val="BodyText"/>
        <w:spacing w:before="219"/>
        <w:ind w:left="566" w:right="749"/>
      </w:pPr>
      <w:r>
        <w:rPr>
          <w:spacing w:val="-6"/>
        </w:rPr>
        <w:t>Τα</w:t>
      </w:r>
      <w:r>
        <w:rPr>
          <w:spacing w:val="-13"/>
        </w:rPr>
        <w:t> </w:t>
      </w:r>
      <w:r>
        <w:rPr>
          <w:spacing w:val="-6"/>
        </w:rPr>
        <w:t>Κεφάλαια</w:t>
      </w:r>
      <w:r>
        <w:rPr>
          <w:spacing w:val="-12"/>
        </w:rPr>
        <w:t> </w:t>
      </w:r>
      <w:r>
        <w:rPr>
          <w:spacing w:val="-6"/>
        </w:rPr>
        <w:t>CET1</w:t>
      </w:r>
      <w:r>
        <w:rPr>
          <w:spacing w:val="-13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επίπεδο</w:t>
      </w:r>
      <w:r>
        <w:rPr>
          <w:spacing w:val="-13"/>
        </w:rPr>
        <w:t> </w:t>
      </w:r>
      <w:r>
        <w:rPr>
          <w:spacing w:val="-6"/>
        </w:rPr>
        <w:t>Ομίλου</w:t>
      </w:r>
      <w:r>
        <w:rPr>
          <w:spacing w:val="-12"/>
        </w:rPr>
        <w:t> </w:t>
      </w:r>
      <w:r>
        <w:rPr>
          <w:spacing w:val="-6"/>
        </w:rPr>
        <w:t>ανήλθαν</w:t>
      </w:r>
      <w:r>
        <w:rPr>
          <w:spacing w:val="-14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€5</w:t>
      </w:r>
      <w:r>
        <w:rPr>
          <w:spacing w:val="-13"/>
        </w:rPr>
        <w:t> </w:t>
      </w:r>
      <w:r>
        <w:rPr>
          <w:spacing w:val="-6"/>
        </w:rPr>
        <w:t>δισ.,</w:t>
      </w:r>
      <w:r>
        <w:rPr>
          <w:spacing w:val="-13"/>
        </w:rPr>
        <w:t> </w:t>
      </w:r>
      <w:r>
        <w:rPr>
          <w:spacing w:val="-6"/>
        </w:rPr>
        <w:t>ενώ</w:t>
      </w:r>
      <w:r>
        <w:rPr>
          <w:spacing w:val="-13"/>
        </w:rPr>
        <w:t> </w:t>
      </w:r>
      <w:r>
        <w:rPr>
          <w:spacing w:val="-6"/>
        </w:rPr>
        <w:t>ο</w:t>
      </w:r>
      <w:r>
        <w:rPr>
          <w:spacing w:val="-12"/>
        </w:rPr>
        <w:t> </w:t>
      </w:r>
      <w:r>
        <w:rPr>
          <w:rFonts w:ascii="Tahoma" w:hAnsi="Tahoma"/>
          <w:b/>
          <w:spacing w:val="-6"/>
        </w:rPr>
        <w:t>αντίστοιχος</w:t>
      </w:r>
      <w:r>
        <w:rPr>
          <w:rFonts w:ascii="Tahoma" w:hAnsi="Tahoma"/>
          <w:b/>
          <w:spacing w:val="-2"/>
        </w:rPr>
        <w:t> </w:t>
      </w:r>
      <w:r>
        <w:rPr>
          <w:rFonts w:ascii="Tahoma" w:hAnsi="Tahoma"/>
          <w:b/>
          <w:spacing w:val="-6"/>
        </w:rPr>
        <w:t>Δείκτης</w:t>
      </w:r>
      <w:r>
        <w:rPr>
          <w:rFonts w:ascii="Tahoma" w:hAnsi="Tahoma"/>
          <w:b/>
          <w:spacing w:val="-4"/>
        </w:rPr>
        <w:t> </w:t>
      </w:r>
      <w:r>
        <w:rPr>
          <w:spacing w:val="-6"/>
        </w:rPr>
        <w:t>CET1</w:t>
      </w:r>
      <w:r>
        <w:rPr>
          <w:spacing w:val="-12"/>
        </w:rPr>
        <w:t> </w:t>
      </w:r>
      <w:r>
        <w:rPr>
          <w:spacing w:val="-6"/>
        </w:rPr>
        <w:t>διαμορφώθηκε</w:t>
      </w:r>
      <w:r>
        <w:rPr>
          <w:spacing w:val="-13"/>
        </w:rPr>
        <w:t> </w:t>
      </w:r>
      <w:r>
        <w:rPr>
          <w:spacing w:val="-6"/>
        </w:rPr>
        <w:t>σε</w:t>
      </w:r>
      <w:r>
        <w:rPr>
          <w:spacing w:val="-13"/>
        </w:rPr>
        <w:t> </w:t>
      </w:r>
      <w:r>
        <w:rPr>
          <w:spacing w:val="-6"/>
        </w:rPr>
        <w:t>14,3% </w:t>
      </w:r>
      <w:r>
        <w:rPr>
          <w:spacing w:val="-4"/>
        </w:rPr>
        <w:t>λαμβάνοντας</w:t>
      </w:r>
      <w:r>
        <w:rPr>
          <w:spacing w:val="-12"/>
        </w:rPr>
        <w:t> </w:t>
      </w:r>
      <w:r>
        <w:rPr>
          <w:spacing w:val="-4"/>
        </w:rPr>
        <w:t>υπόψη</w:t>
      </w:r>
      <w:r>
        <w:rPr>
          <w:spacing w:val="-13"/>
        </w:rPr>
        <w:t> </w:t>
      </w:r>
      <w:r>
        <w:rPr>
          <w:spacing w:val="-4"/>
        </w:rPr>
        <w:t>την</w:t>
      </w:r>
      <w:r>
        <w:rPr>
          <w:spacing w:val="-13"/>
        </w:rPr>
        <w:t> </w:t>
      </w:r>
      <w:r>
        <w:rPr>
          <w:spacing w:val="-4"/>
        </w:rPr>
        <w:t>πρόβλεψη</w:t>
      </w:r>
      <w:r>
        <w:rPr>
          <w:spacing w:val="-12"/>
        </w:rPr>
        <w:t> </w:t>
      </w:r>
      <w:r>
        <w:rPr>
          <w:spacing w:val="-4"/>
        </w:rPr>
        <w:t>για</w:t>
      </w:r>
      <w:r>
        <w:rPr>
          <w:spacing w:val="-13"/>
        </w:rPr>
        <w:t> </w:t>
      </w:r>
      <w:r>
        <w:rPr>
          <w:spacing w:val="-4"/>
        </w:rPr>
        <w:t>διανομή</w:t>
      </w:r>
      <w:r>
        <w:rPr>
          <w:spacing w:val="-15"/>
        </w:rPr>
        <w:t> </w:t>
      </w:r>
      <w:r>
        <w:rPr>
          <w:spacing w:val="-4"/>
        </w:rPr>
        <w:t>μερίσματος</w:t>
      </w:r>
      <w:r>
        <w:rPr>
          <w:spacing w:val="-12"/>
        </w:rPr>
        <w:t> </w:t>
      </w:r>
      <w:r>
        <w:rPr>
          <w:spacing w:val="-4"/>
        </w:rPr>
        <w:t>105</w:t>
      </w:r>
      <w:r>
        <w:rPr>
          <w:spacing w:val="-13"/>
        </w:rPr>
        <w:t> </w:t>
      </w:r>
      <w:r>
        <w:rPr>
          <w:spacing w:val="-4"/>
        </w:rPr>
        <w:t>μ.β.</w:t>
      </w:r>
      <w:r>
        <w:rPr>
          <w:spacing w:val="-13"/>
        </w:rPr>
        <w:t> </w:t>
      </w:r>
      <w:r>
        <w:rPr>
          <w:spacing w:val="-4"/>
        </w:rPr>
        <w:t>για</w:t>
      </w:r>
      <w:r>
        <w:rPr>
          <w:spacing w:val="-16"/>
        </w:rPr>
        <w:t> </w:t>
      </w:r>
      <w:r>
        <w:rPr>
          <w:spacing w:val="-4"/>
        </w:rPr>
        <w:t>το</w:t>
      </w:r>
      <w:r>
        <w:rPr>
          <w:spacing w:val="-13"/>
        </w:rPr>
        <w:t> </w:t>
      </w:r>
      <w:r>
        <w:rPr>
          <w:spacing w:val="-4"/>
        </w:rPr>
        <w:t>α’</w:t>
      </w:r>
      <w:r>
        <w:rPr>
          <w:spacing w:val="-13"/>
        </w:rPr>
        <w:t> </w:t>
      </w:r>
      <w:r>
        <w:rPr>
          <w:spacing w:val="-4"/>
        </w:rPr>
        <w:t>εξάμηνο,</w:t>
      </w:r>
      <w:r>
        <w:rPr>
          <w:spacing w:val="-13"/>
        </w:rPr>
        <w:t> </w:t>
      </w:r>
      <w:r>
        <w:rPr>
          <w:spacing w:val="-4"/>
        </w:rPr>
        <w:t>συμπεριλαμβανομένης</w:t>
      </w:r>
      <w:r>
        <w:rPr>
          <w:spacing w:val="-13"/>
        </w:rPr>
        <w:t> </w:t>
      </w:r>
      <w:r>
        <w:rPr>
          <w:spacing w:val="-4"/>
        </w:rPr>
        <w:t>της </w:t>
      </w:r>
      <w:r>
        <w:rPr>
          <w:spacing w:val="-6"/>
        </w:rPr>
        <w:t>επίπτωσης από την επιτάχυνση της απόσβεσης των φορολογικών απαιτήσεων. Συγκεκριμένα,</w:t>
      </w:r>
      <w:r>
        <w:rPr>
          <w:spacing w:val="-7"/>
        </w:rPr>
        <w:t> </w:t>
      </w:r>
      <w:r>
        <w:rPr>
          <w:spacing w:val="-6"/>
        </w:rPr>
        <w:t>η μεταβολή του α’</w:t>
      </w:r>
    </w:p>
    <w:p>
      <w:pPr>
        <w:pStyle w:val="BodyText"/>
        <w:ind w:left="566" w:right="749"/>
      </w:pPr>
      <w:r>
        <w:rPr>
          <w:w w:val="90"/>
        </w:rPr>
        <w:t>εξαμήνου αντανακλά τη θετική συνεισφορά της οργανικής κερδοφορίας κατά 71 μ.β., η οποία αντισταθμίστηκε εν μέρει</w:t>
      </w:r>
      <w:r>
        <w:rPr>
          <w:spacing w:val="80"/>
        </w:rPr>
        <w:t> </w:t>
      </w:r>
      <w:r>
        <w:rPr>
          <w:spacing w:val="-6"/>
        </w:rPr>
        <w:t>από αρνητική επίπτωση 49 μ.β. από τις συναλλαγές της περιόδου,</w:t>
      </w:r>
      <w:r>
        <w:rPr>
          <w:spacing w:val="-7"/>
        </w:rPr>
        <w:t> </w:t>
      </w:r>
      <w:r>
        <w:rPr>
          <w:spacing w:val="-6"/>
        </w:rPr>
        <w:t>κυρίως λόγω</w:t>
      </w:r>
      <w:r>
        <w:rPr>
          <w:spacing w:val="-7"/>
        </w:rPr>
        <w:t> </w:t>
      </w:r>
      <w:r>
        <w:rPr>
          <w:spacing w:val="-6"/>
        </w:rPr>
        <w:t>των εξαγορών, καθώς και κατά</w:t>
      </w:r>
    </w:p>
    <w:p>
      <w:pPr>
        <w:pStyle w:val="BodyText"/>
        <w:spacing w:line="218" w:lineRule="exact"/>
        <w:ind w:left="566"/>
      </w:pPr>
      <w:r>
        <w:rPr>
          <w:w w:val="90"/>
        </w:rPr>
        <w:t>18</w:t>
      </w:r>
      <w:r>
        <w:rPr>
          <w:spacing w:val="-3"/>
        </w:rPr>
        <w:t> </w:t>
      </w:r>
      <w:r>
        <w:rPr>
          <w:w w:val="90"/>
        </w:rPr>
        <w:t>μ.β.</w:t>
      </w:r>
      <w:r>
        <w:rPr>
          <w:spacing w:val="-2"/>
        </w:rPr>
        <w:t> </w:t>
      </w:r>
      <w:r>
        <w:rPr>
          <w:w w:val="90"/>
        </w:rPr>
        <w:t>από</w:t>
      </w:r>
      <w:r>
        <w:rPr>
          <w:spacing w:val="-3"/>
        </w:rPr>
        <w:t> </w:t>
      </w:r>
      <w:r>
        <w:rPr>
          <w:w w:val="90"/>
        </w:rPr>
        <w:t>λοιπά</w:t>
      </w:r>
      <w:r>
        <w:rPr>
          <w:spacing w:val="-2"/>
        </w:rPr>
        <w:t> </w:t>
      </w:r>
      <w:r>
        <w:rPr>
          <w:w w:val="90"/>
        </w:rPr>
        <w:t>εποπτικά</w:t>
      </w:r>
      <w:r>
        <w:rPr>
          <w:spacing w:val="-2"/>
        </w:rPr>
        <w:t> </w:t>
      </w:r>
      <w:r>
        <w:rPr>
          <w:spacing w:val="-2"/>
          <w:w w:val="90"/>
        </w:rPr>
        <w:t>στοιχεία.</w:t>
      </w:r>
    </w:p>
    <w:p>
      <w:pPr>
        <w:spacing w:before="218"/>
        <w:ind w:left="566" w:right="582" w:firstLine="0"/>
        <w:jc w:val="left"/>
        <w:rPr>
          <w:sz w:val="18"/>
        </w:rPr>
      </w:pPr>
      <w:r>
        <w:rPr>
          <w:spacing w:val="-6"/>
          <w:sz w:val="18"/>
        </w:rPr>
        <w:t>Στο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τέλος</w:t>
      </w:r>
      <w:r>
        <w:rPr>
          <w:spacing w:val="-10"/>
          <w:sz w:val="18"/>
        </w:rPr>
        <w:t> </w:t>
      </w:r>
      <w:r>
        <w:rPr>
          <w:spacing w:val="-6"/>
          <w:sz w:val="18"/>
        </w:rPr>
        <w:t>Ιουνίου</w:t>
      </w:r>
      <w:r>
        <w:rPr>
          <w:spacing w:val="-14"/>
          <w:sz w:val="18"/>
        </w:rPr>
        <w:t> </w:t>
      </w:r>
      <w:r>
        <w:rPr>
          <w:spacing w:val="-6"/>
          <w:sz w:val="18"/>
        </w:rPr>
        <w:t>2026,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τα</w:t>
      </w:r>
      <w:r>
        <w:rPr>
          <w:spacing w:val="-12"/>
          <w:sz w:val="18"/>
        </w:rPr>
        <w:t> </w:t>
      </w:r>
      <w:r>
        <w:rPr>
          <w:rFonts w:ascii="Tahoma" w:hAnsi="Tahoma"/>
          <w:b/>
          <w:spacing w:val="-6"/>
          <w:sz w:val="18"/>
        </w:rPr>
        <w:t>Σταθμισμένα για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pacing w:val="-6"/>
          <w:sz w:val="18"/>
        </w:rPr>
        <w:t>τον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pacing w:val="-6"/>
          <w:sz w:val="18"/>
        </w:rPr>
        <w:t>Κίνδυνο Στοιχεία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pacing w:val="-6"/>
          <w:sz w:val="18"/>
        </w:rPr>
        <w:t>του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pacing w:val="-6"/>
          <w:sz w:val="18"/>
        </w:rPr>
        <w:t>Ενεργητικού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pacing w:val="-6"/>
          <w:sz w:val="18"/>
        </w:rPr>
        <w:t>(RWAs)</w:t>
      </w:r>
      <w:r>
        <w:rPr>
          <w:rFonts w:ascii="Tahoma" w:hAnsi="Tahoma"/>
          <w:b/>
          <w:spacing w:val="-2"/>
          <w:sz w:val="18"/>
        </w:rPr>
        <w:t> </w:t>
      </w:r>
      <w:r>
        <w:rPr>
          <w:spacing w:val="-6"/>
          <w:sz w:val="18"/>
        </w:rPr>
        <w:t>διαμορφώθηκαν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σε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€34,8 δισ.,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αυξημένα</w:t>
      </w:r>
      <w:r>
        <w:rPr>
          <w:spacing w:val="-16"/>
          <w:sz w:val="18"/>
        </w:rPr>
        <w:t> </w:t>
      </w:r>
      <w:r>
        <w:rPr>
          <w:spacing w:val="-6"/>
          <w:sz w:val="18"/>
        </w:rPr>
        <w:t>κατά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7,2%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ή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κατά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€2,4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δισ.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από</w:t>
      </w:r>
      <w:r>
        <w:rPr>
          <w:spacing w:val="-16"/>
          <w:sz w:val="18"/>
        </w:rPr>
        <w:t> </w:t>
      </w:r>
      <w:r>
        <w:rPr>
          <w:spacing w:val="-6"/>
          <w:sz w:val="18"/>
        </w:rPr>
        <w:t>την</w:t>
      </w:r>
      <w:r>
        <w:rPr>
          <w:spacing w:val="-14"/>
          <w:sz w:val="18"/>
        </w:rPr>
        <w:t> </w:t>
      </w:r>
      <w:r>
        <w:rPr>
          <w:spacing w:val="-6"/>
          <w:sz w:val="18"/>
        </w:rPr>
        <w:t>αρχή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του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έτους,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κυρίως</w:t>
      </w:r>
      <w:r>
        <w:rPr>
          <w:spacing w:val="-15"/>
          <w:sz w:val="18"/>
        </w:rPr>
        <w:t> </w:t>
      </w:r>
      <w:r>
        <w:rPr>
          <w:spacing w:val="-6"/>
          <w:sz w:val="18"/>
        </w:rPr>
        <w:t>ως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αποτέλεσμα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της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πιστωτικής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επέκτασης.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2"/>
      </w:pPr>
    </w:p>
    <w:p>
      <w:pPr>
        <w:pStyle w:val="Heading1"/>
      </w:pPr>
      <w:r>
        <w:rPr>
          <w:color w:val="5B92C9"/>
          <w:spacing w:val="-4"/>
        </w:rPr>
        <w:t>Διεθνείς</w:t>
      </w:r>
      <w:r>
        <w:rPr>
          <w:color w:val="5B92C9"/>
          <w:spacing w:val="-9"/>
        </w:rPr>
        <w:t> </w:t>
      </w:r>
      <w:r>
        <w:rPr>
          <w:color w:val="5B92C9"/>
          <w:spacing w:val="-2"/>
        </w:rPr>
        <w:t>Δραστηριότητες</w:t>
      </w:r>
    </w:p>
    <w:p>
      <w:pPr>
        <w:pStyle w:val="BodyText"/>
        <w:spacing w:before="144"/>
        <w:ind w:left="566" w:right="749"/>
      </w:pPr>
      <w:r>
        <w:rPr>
          <w:spacing w:val="-6"/>
        </w:rPr>
        <w:t>Το</w:t>
      </w:r>
      <w:r>
        <w:rPr>
          <w:spacing w:val="-12"/>
        </w:rPr>
        <w:t> </w:t>
      </w:r>
      <w:r>
        <w:rPr>
          <w:spacing w:val="-6"/>
        </w:rPr>
        <w:t>α’</w:t>
      </w:r>
      <w:r>
        <w:rPr>
          <w:spacing w:val="-13"/>
        </w:rPr>
        <w:t> </w:t>
      </w:r>
      <w:r>
        <w:rPr>
          <w:spacing w:val="-6"/>
        </w:rPr>
        <w:t>εξάμηνο</w:t>
      </w:r>
      <w:r>
        <w:rPr>
          <w:spacing w:val="-13"/>
        </w:rPr>
        <w:t> </w:t>
      </w:r>
      <w:r>
        <w:rPr>
          <w:spacing w:val="-6"/>
        </w:rPr>
        <w:t>2026,</w:t>
      </w:r>
      <w:r>
        <w:rPr>
          <w:spacing w:val="-16"/>
        </w:rPr>
        <w:t> </w:t>
      </w:r>
      <w:r>
        <w:rPr>
          <w:spacing w:val="-6"/>
        </w:rPr>
        <w:t>τα</w:t>
      </w:r>
      <w:r>
        <w:rPr>
          <w:spacing w:val="-13"/>
        </w:rPr>
        <w:t> </w:t>
      </w:r>
      <w:r>
        <w:rPr>
          <w:spacing w:val="-6"/>
        </w:rPr>
        <w:t>Καθαρά</w:t>
      </w:r>
      <w:r>
        <w:rPr>
          <w:spacing w:val="-12"/>
        </w:rPr>
        <w:t> </w:t>
      </w:r>
      <w:r>
        <w:rPr>
          <w:spacing w:val="-6"/>
        </w:rPr>
        <w:t>Κέρδη</w:t>
      </w:r>
      <w:r>
        <w:rPr>
          <w:spacing w:val="-15"/>
        </w:rPr>
        <w:t> </w:t>
      </w:r>
      <w:r>
        <w:rPr>
          <w:spacing w:val="-6"/>
        </w:rPr>
        <w:t>μετά</w:t>
      </w:r>
      <w:r>
        <w:rPr>
          <w:spacing w:val="-13"/>
        </w:rPr>
        <w:t> </w:t>
      </w:r>
      <w:r>
        <w:rPr>
          <w:spacing w:val="-6"/>
        </w:rPr>
        <w:t>από</w:t>
      </w:r>
      <w:r>
        <w:rPr>
          <w:spacing w:val="-16"/>
        </w:rPr>
        <w:t> </w:t>
      </w:r>
      <w:r>
        <w:rPr>
          <w:spacing w:val="-6"/>
        </w:rPr>
        <w:t>φόρους</w:t>
      </w:r>
      <w:r>
        <w:rPr>
          <w:spacing w:val="-14"/>
        </w:rPr>
        <w:t> </w:t>
      </w:r>
      <w:r>
        <w:rPr>
          <w:spacing w:val="-6"/>
        </w:rPr>
        <w:t>από</w:t>
      </w:r>
      <w:r>
        <w:rPr>
          <w:spacing w:val="-14"/>
        </w:rPr>
        <w:t> </w:t>
      </w:r>
      <w:r>
        <w:rPr>
          <w:spacing w:val="-6"/>
        </w:rPr>
        <w:t>τις</w:t>
      </w:r>
      <w:r>
        <w:rPr>
          <w:spacing w:val="-13"/>
        </w:rPr>
        <w:t> </w:t>
      </w:r>
      <w:r>
        <w:rPr>
          <w:spacing w:val="-6"/>
        </w:rPr>
        <w:t>Διεθνείς</w:t>
      </w:r>
      <w:r>
        <w:rPr>
          <w:spacing w:val="-13"/>
        </w:rPr>
        <w:t> </w:t>
      </w:r>
      <w:r>
        <w:rPr>
          <w:spacing w:val="-6"/>
        </w:rPr>
        <w:t>Δραστηριότητες</w:t>
      </w:r>
      <w:r>
        <w:rPr>
          <w:spacing w:val="-13"/>
        </w:rPr>
        <w:t> </w:t>
      </w:r>
      <w:r>
        <w:rPr>
          <w:spacing w:val="-6"/>
        </w:rPr>
        <w:t>του</w:t>
      </w:r>
      <w:r>
        <w:rPr>
          <w:spacing w:val="-13"/>
        </w:rPr>
        <w:t> </w:t>
      </w:r>
      <w:r>
        <w:rPr>
          <w:spacing w:val="-6"/>
        </w:rPr>
        <w:t>Ομίλου</w:t>
      </w:r>
      <w:r>
        <w:rPr>
          <w:spacing w:val="-10"/>
        </w:rPr>
        <w:t> </w:t>
      </w:r>
      <w:r>
        <w:rPr>
          <w:spacing w:val="-6"/>
        </w:rPr>
        <w:t>ανήλθαν</w:t>
      </w:r>
      <w:r>
        <w:rPr>
          <w:spacing w:val="-14"/>
        </w:rPr>
        <w:t> </w:t>
      </w:r>
      <w:r>
        <w:rPr>
          <w:spacing w:val="-6"/>
        </w:rPr>
        <w:t>σε</w:t>
      </w:r>
      <w:r>
        <w:rPr>
          <w:spacing w:val="-16"/>
        </w:rPr>
        <w:t> </w:t>
      </w:r>
      <w:r>
        <w:rPr>
          <w:spacing w:val="-6"/>
        </w:rPr>
        <w:t>€25 εκατ.</w:t>
      </w:r>
      <w:r>
        <w:rPr>
          <w:spacing w:val="-12"/>
        </w:rPr>
        <w:t> </w:t>
      </w:r>
      <w:r>
        <w:rPr>
          <w:spacing w:val="-6"/>
        </w:rPr>
        <w:t>(-50%</w:t>
      </w:r>
      <w:r>
        <w:rPr>
          <w:spacing w:val="-13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ετήσια</w:t>
      </w:r>
      <w:r>
        <w:rPr>
          <w:spacing w:val="-13"/>
        </w:rPr>
        <w:t> </w:t>
      </w:r>
      <w:r>
        <w:rPr>
          <w:spacing w:val="-6"/>
        </w:rPr>
        <w:t>βάση),</w:t>
      </w:r>
      <w:r>
        <w:rPr>
          <w:spacing w:val="-15"/>
        </w:rPr>
        <w:t> </w:t>
      </w:r>
      <w:r>
        <w:rPr>
          <w:spacing w:val="-6"/>
        </w:rPr>
        <w:t>ενώ</w:t>
      </w:r>
      <w:r>
        <w:rPr>
          <w:spacing w:val="-13"/>
        </w:rPr>
        <w:t> </w:t>
      </w:r>
      <w:r>
        <w:rPr>
          <w:spacing w:val="-6"/>
        </w:rPr>
        <w:t>τα</w:t>
      </w:r>
      <w:r>
        <w:rPr>
          <w:spacing w:val="-13"/>
        </w:rPr>
        <w:t> </w:t>
      </w:r>
      <w:r>
        <w:rPr>
          <w:spacing w:val="-6"/>
        </w:rPr>
        <w:t>Προσαρμοσμένα</w:t>
      </w:r>
      <w:r>
        <w:rPr>
          <w:spacing w:val="-14"/>
        </w:rPr>
        <w:t> </w:t>
      </w:r>
      <w:r>
        <w:rPr>
          <w:spacing w:val="-6"/>
        </w:rPr>
        <w:t>Κέρδη</w:t>
      </w:r>
      <w:r>
        <w:rPr>
          <w:spacing w:val="-13"/>
        </w:rPr>
        <w:t> </w:t>
      </w:r>
      <w:r>
        <w:rPr>
          <w:spacing w:val="-6"/>
        </w:rPr>
        <w:t>μετά</w:t>
      </w:r>
      <w:r>
        <w:rPr>
          <w:spacing w:val="-13"/>
        </w:rPr>
        <w:t> </w:t>
      </w:r>
      <w:r>
        <w:rPr>
          <w:spacing w:val="-6"/>
        </w:rPr>
        <w:t>από</w:t>
      </w:r>
      <w:r>
        <w:rPr>
          <w:spacing w:val="-13"/>
        </w:rPr>
        <w:t> </w:t>
      </w:r>
      <w:r>
        <w:rPr>
          <w:spacing w:val="-6"/>
        </w:rPr>
        <w:t>φόρους</w:t>
      </w:r>
      <w:r>
        <w:rPr>
          <w:spacing w:val="-8"/>
        </w:rPr>
        <w:t> </w:t>
      </w:r>
      <w:r>
        <w:rPr>
          <w:spacing w:val="-6"/>
        </w:rPr>
        <w:t>ανήλθαν</w:t>
      </w:r>
      <w:r>
        <w:rPr>
          <w:spacing w:val="-14"/>
        </w:rPr>
        <w:t> </w:t>
      </w:r>
      <w:r>
        <w:rPr>
          <w:spacing w:val="-6"/>
        </w:rPr>
        <w:t>σε</w:t>
      </w:r>
      <w:r>
        <w:rPr>
          <w:spacing w:val="-13"/>
        </w:rPr>
        <w:t> </w:t>
      </w:r>
      <w:r>
        <w:rPr>
          <w:spacing w:val="-6"/>
        </w:rPr>
        <w:t>€46</w:t>
      </w:r>
      <w:r>
        <w:rPr>
          <w:spacing w:val="-13"/>
        </w:rPr>
        <w:t> </w:t>
      </w:r>
      <w:r>
        <w:rPr>
          <w:spacing w:val="-6"/>
        </w:rPr>
        <w:t>εκατ.,</w:t>
      </w:r>
      <w:r>
        <w:rPr>
          <w:spacing w:val="-13"/>
        </w:rPr>
        <w:t> </w:t>
      </w:r>
      <w:r>
        <w:rPr>
          <w:spacing w:val="-6"/>
        </w:rPr>
        <w:t>μειωμένα</w:t>
      </w:r>
      <w:r>
        <w:rPr>
          <w:spacing w:val="-14"/>
        </w:rPr>
        <w:t> </w:t>
      </w:r>
      <w:r>
        <w:rPr>
          <w:spacing w:val="-6"/>
        </w:rPr>
        <w:t>κατά 2%</w:t>
      </w:r>
      <w:r>
        <w:rPr>
          <w:spacing w:val="-14"/>
        </w:rPr>
        <w:t> </w:t>
      </w:r>
      <w:r>
        <w:rPr>
          <w:spacing w:val="-6"/>
        </w:rPr>
        <w:t>σε</w:t>
      </w:r>
      <w:r>
        <w:rPr>
          <w:spacing w:val="-14"/>
        </w:rPr>
        <w:t> </w:t>
      </w:r>
      <w:r>
        <w:rPr>
          <w:spacing w:val="-6"/>
        </w:rPr>
        <w:t>ετήσια</w:t>
      </w:r>
      <w:r>
        <w:rPr>
          <w:spacing w:val="-13"/>
        </w:rPr>
        <w:t> </w:t>
      </w:r>
      <w:r>
        <w:rPr>
          <w:spacing w:val="-6"/>
        </w:rPr>
        <w:t>βάση,</w:t>
      </w:r>
      <w:r>
        <w:rPr>
          <w:spacing w:val="-13"/>
        </w:rPr>
        <w:t> </w:t>
      </w:r>
      <w:r>
        <w:rPr>
          <w:spacing w:val="-6"/>
        </w:rPr>
        <w:t>κυρίως</w:t>
      </w:r>
      <w:r>
        <w:rPr>
          <w:spacing w:val="-15"/>
        </w:rPr>
        <w:t> </w:t>
      </w:r>
      <w:r>
        <w:rPr>
          <w:spacing w:val="-6"/>
        </w:rPr>
        <w:t>ως</w:t>
      </w:r>
      <w:r>
        <w:rPr>
          <w:spacing w:val="-13"/>
        </w:rPr>
        <w:t> </w:t>
      </w:r>
      <w:r>
        <w:rPr>
          <w:spacing w:val="-6"/>
        </w:rPr>
        <w:t>αποτέλεσμα</w:t>
      </w:r>
      <w:r>
        <w:rPr>
          <w:spacing w:val="-11"/>
        </w:rPr>
        <w:t> </w:t>
      </w:r>
      <w:r>
        <w:rPr>
          <w:spacing w:val="-6"/>
        </w:rPr>
        <w:t>των</w:t>
      </w:r>
      <w:r>
        <w:rPr>
          <w:spacing w:val="-14"/>
        </w:rPr>
        <w:t> </w:t>
      </w:r>
      <w:r>
        <w:rPr>
          <w:spacing w:val="-6"/>
        </w:rPr>
        <w:t>προβλέψεων</w:t>
      </w:r>
      <w:r>
        <w:rPr>
          <w:spacing w:val="-13"/>
        </w:rPr>
        <w:t> </w:t>
      </w:r>
      <w:r>
        <w:rPr>
          <w:spacing w:val="-6"/>
        </w:rPr>
        <w:t>ύψους</w:t>
      </w:r>
      <w:r>
        <w:rPr>
          <w:spacing w:val="-12"/>
        </w:rPr>
        <w:t> </w:t>
      </w:r>
      <w:r>
        <w:rPr>
          <w:spacing w:val="-6"/>
        </w:rPr>
        <w:t>€17,5</w:t>
      </w:r>
      <w:r>
        <w:rPr>
          <w:spacing w:val="-12"/>
        </w:rPr>
        <w:t> </w:t>
      </w:r>
      <w:r>
        <w:rPr>
          <w:spacing w:val="-6"/>
        </w:rPr>
        <w:t>εκατ.</w:t>
      </w:r>
      <w:r>
        <w:rPr>
          <w:spacing w:val="-13"/>
        </w:rPr>
        <w:t> </w:t>
      </w:r>
      <w:r>
        <w:rPr>
          <w:spacing w:val="-6"/>
        </w:rPr>
        <w:t>σχετιζόμενων</w:t>
      </w:r>
      <w:r>
        <w:rPr>
          <w:spacing w:val="-14"/>
        </w:rPr>
        <w:t> </w:t>
      </w:r>
      <w:r>
        <w:rPr>
          <w:spacing w:val="-6"/>
        </w:rPr>
        <w:t>με</w:t>
      </w:r>
      <w:r>
        <w:rPr>
          <w:spacing w:val="-13"/>
        </w:rPr>
        <w:t> </w:t>
      </w:r>
      <w:r>
        <w:rPr>
          <w:spacing w:val="-6"/>
        </w:rPr>
        <w:t>το</w:t>
      </w:r>
      <w:r>
        <w:rPr>
          <w:spacing w:val="-16"/>
        </w:rPr>
        <w:t> </w:t>
      </w:r>
      <w:r>
        <w:rPr>
          <w:spacing w:val="-6"/>
        </w:rPr>
        <w:t>Πρόγραμμα</w:t>
      </w:r>
      <w:r>
        <w:rPr>
          <w:spacing w:val="-15"/>
        </w:rPr>
        <w:t> </w:t>
      </w:r>
      <w:r>
        <w:rPr>
          <w:spacing w:val="-6"/>
        </w:rPr>
        <w:t>VSS στην Κύπρο. Το Καθαρό</w:t>
      </w:r>
      <w:r>
        <w:rPr>
          <w:spacing w:val="-8"/>
        </w:rPr>
        <w:t> </w:t>
      </w:r>
      <w:r>
        <w:rPr>
          <w:spacing w:val="-6"/>
        </w:rPr>
        <w:t>Έσοδο Τόκων αυξήθηκε κατά 62% σε</w:t>
      </w:r>
      <w:r>
        <w:rPr>
          <w:spacing w:val="-7"/>
        </w:rPr>
        <w:t> </w:t>
      </w:r>
      <w:r>
        <w:rPr>
          <w:spacing w:val="-6"/>
        </w:rPr>
        <w:t>ετήσια βάση, ενώ</w:t>
      </w:r>
      <w:r>
        <w:rPr>
          <w:spacing w:val="-8"/>
        </w:rPr>
        <w:t> </w:t>
      </w:r>
      <w:r>
        <w:rPr>
          <w:spacing w:val="-6"/>
        </w:rPr>
        <w:t>τα Έσοδα από</w:t>
      </w:r>
      <w:r>
        <w:rPr>
          <w:spacing w:val="-7"/>
        </w:rPr>
        <w:t> </w:t>
      </w:r>
      <w:r>
        <w:rPr>
          <w:spacing w:val="-6"/>
        </w:rPr>
        <w:t>αμοιβές υπηρεσιών</w:t>
      </w:r>
    </w:p>
    <w:p>
      <w:pPr>
        <w:pStyle w:val="BodyText"/>
        <w:ind w:left="566" w:right="582"/>
      </w:pPr>
      <w:r>
        <w:rPr>
          <w:w w:val="90"/>
        </w:rPr>
        <w:t>ενισχύθηκαν κατά 66% αντίστοιχα. Τα Επαναλαμβανόμενα Λειτουργικά Έξοδα αυξήθηκαν κατά 56% σε ετήσια βάση, ως </w:t>
      </w:r>
      <w:r>
        <w:rPr>
          <w:spacing w:val="-4"/>
        </w:rPr>
        <w:t>αποτέλεσμα</w:t>
      </w:r>
      <w:r>
        <w:rPr>
          <w:spacing w:val="-10"/>
        </w:rPr>
        <w:t> </w:t>
      </w:r>
      <w:r>
        <w:rPr>
          <w:spacing w:val="-4"/>
        </w:rPr>
        <w:t>της</w:t>
      </w:r>
      <w:r>
        <w:rPr>
          <w:spacing w:val="-12"/>
        </w:rPr>
        <w:t> </w:t>
      </w:r>
      <w:r>
        <w:rPr>
          <w:spacing w:val="-4"/>
        </w:rPr>
        <w:t>αύξησης</w:t>
      </w:r>
      <w:r>
        <w:rPr>
          <w:spacing w:val="-10"/>
        </w:rPr>
        <w:t> </w:t>
      </w:r>
      <w:r>
        <w:rPr>
          <w:spacing w:val="-4"/>
        </w:rPr>
        <w:t>των</w:t>
      </w:r>
      <w:r>
        <w:rPr>
          <w:spacing w:val="-12"/>
        </w:rPr>
        <w:t> </w:t>
      </w:r>
      <w:r>
        <w:rPr>
          <w:spacing w:val="-4"/>
        </w:rPr>
        <w:t>Αμοιβών</w:t>
      </w:r>
      <w:r>
        <w:rPr>
          <w:spacing w:val="-12"/>
        </w:rPr>
        <w:t> </w:t>
      </w:r>
      <w:r>
        <w:rPr>
          <w:spacing w:val="-4"/>
        </w:rPr>
        <w:t>και</w:t>
      </w:r>
      <w:r>
        <w:rPr>
          <w:spacing w:val="-11"/>
        </w:rPr>
        <w:t> </w:t>
      </w:r>
      <w:r>
        <w:rPr>
          <w:spacing w:val="-4"/>
        </w:rPr>
        <w:t>εξόδων</w:t>
      </w:r>
      <w:r>
        <w:rPr>
          <w:spacing w:val="-12"/>
        </w:rPr>
        <w:t> </w:t>
      </w:r>
      <w:r>
        <w:rPr>
          <w:spacing w:val="-4"/>
        </w:rPr>
        <w:t>Προσωπικού</w:t>
      </w:r>
      <w:r>
        <w:rPr>
          <w:spacing w:val="-9"/>
        </w:rPr>
        <w:t> </w:t>
      </w:r>
      <w:r>
        <w:rPr>
          <w:spacing w:val="-4"/>
        </w:rPr>
        <w:t>καθώς</w:t>
      </w:r>
      <w:r>
        <w:rPr>
          <w:spacing w:val="-11"/>
        </w:rPr>
        <w:t> </w:t>
      </w:r>
      <w:r>
        <w:rPr>
          <w:spacing w:val="-4"/>
        </w:rPr>
        <w:t>και</w:t>
      </w:r>
      <w:r>
        <w:rPr>
          <w:spacing w:val="-10"/>
        </w:rPr>
        <w:t> </w:t>
      </w:r>
      <w:r>
        <w:rPr>
          <w:spacing w:val="-4"/>
        </w:rPr>
        <w:t>των</w:t>
      </w:r>
      <w:r>
        <w:rPr>
          <w:spacing w:val="-12"/>
        </w:rPr>
        <w:t> </w:t>
      </w:r>
      <w:r>
        <w:rPr>
          <w:spacing w:val="-4"/>
        </w:rPr>
        <w:t>Γενικών</w:t>
      </w:r>
      <w:r>
        <w:rPr>
          <w:spacing w:val="-12"/>
        </w:rPr>
        <w:t> </w:t>
      </w:r>
      <w:r>
        <w:rPr>
          <w:spacing w:val="-4"/>
        </w:rPr>
        <w:t>Εξόδων.</w:t>
      </w:r>
      <w:r>
        <w:rPr>
          <w:spacing w:val="39"/>
        </w:rPr>
        <w:t> </w:t>
      </w:r>
      <w:r>
        <w:rPr>
          <w:spacing w:val="-4"/>
        </w:rPr>
        <w:t>Τα</w:t>
      </w:r>
      <w:r>
        <w:rPr>
          <w:spacing w:val="-11"/>
        </w:rPr>
        <w:t> </w:t>
      </w:r>
      <w:r>
        <w:rPr>
          <w:spacing w:val="-4"/>
        </w:rPr>
        <w:t>υπόλοιπα</w:t>
      </w:r>
      <w:r>
        <w:rPr>
          <w:spacing w:val="-11"/>
        </w:rPr>
        <w:t> </w:t>
      </w:r>
      <w:r>
        <w:rPr>
          <w:spacing w:val="-4"/>
        </w:rPr>
        <w:t>των </w:t>
      </w:r>
      <w:r>
        <w:rPr>
          <w:spacing w:val="-6"/>
        </w:rPr>
        <w:t>δανείων</w:t>
      </w:r>
      <w:r>
        <w:rPr>
          <w:spacing w:val="-7"/>
        </w:rPr>
        <w:t> </w:t>
      </w:r>
      <w:r>
        <w:rPr>
          <w:spacing w:val="-6"/>
        </w:rPr>
        <w:t>(μετά</w:t>
      </w:r>
      <w:r>
        <w:rPr>
          <w:spacing w:val="-7"/>
        </w:rPr>
        <w:t> </w:t>
      </w:r>
      <w:r>
        <w:rPr>
          <w:spacing w:val="-6"/>
        </w:rPr>
        <w:t>από</w:t>
      </w:r>
      <w:r>
        <w:rPr>
          <w:spacing w:val="-8"/>
        </w:rPr>
        <w:t> </w:t>
      </w:r>
      <w:r>
        <w:rPr>
          <w:spacing w:val="-6"/>
        </w:rPr>
        <w:t>συσσωρευμένες</w:t>
      </w:r>
      <w:r>
        <w:rPr>
          <w:spacing w:val="-7"/>
        </w:rPr>
        <w:t> </w:t>
      </w:r>
      <w:r>
        <w:rPr>
          <w:spacing w:val="-6"/>
        </w:rPr>
        <w:t>προβλέψεις)</w:t>
      </w:r>
      <w:r>
        <w:rPr>
          <w:spacing w:val="-8"/>
        </w:rPr>
        <w:t> </w:t>
      </w:r>
      <w:r>
        <w:rPr>
          <w:spacing w:val="-6"/>
        </w:rPr>
        <w:t>ανήλθαν</w:t>
      </w:r>
      <w:r>
        <w:rPr>
          <w:spacing w:val="-8"/>
        </w:rPr>
        <w:t> </w:t>
      </w:r>
      <w:r>
        <w:rPr>
          <w:spacing w:val="-6"/>
        </w:rPr>
        <w:t>σε</w:t>
      </w:r>
      <w:r>
        <w:rPr>
          <w:spacing w:val="-7"/>
        </w:rPr>
        <w:t> </w:t>
      </w:r>
      <w:r>
        <w:rPr>
          <w:spacing w:val="-6"/>
        </w:rPr>
        <w:t>€2,8</w:t>
      </w:r>
      <w:r>
        <w:rPr>
          <w:spacing w:val="-7"/>
        </w:rPr>
        <w:t> </w:t>
      </w:r>
      <w:r>
        <w:rPr>
          <w:spacing w:val="-6"/>
        </w:rPr>
        <w:t>δισ.</w:t>
      </w:r>
      <w:r>
        <w:rPr>
          <w:spacing w:val="-7"/>
        </w:rPr>
        <w:t> </w:t>
      </w:r>
      <w:r>
        <w:rPr>
          <w:spacing w:val="-6"/>
        </w:rPr>
        <w:t>ενώ</w:t>
      </w:r>
      <w:r>
        <w:rPr>
          <w:spacing w:val="-9"/>
        </w:rPr>
        <w:t> </w:t>
      </w:r>
      <w:r>
        <w:rPr>
          <w:spacing w:val="-6"/>
        </w:rPr>
        <w:t>οι</w:t>
      </w:r>
      <w:r>
        <w:rPr>
          <w:spacing w:val="-7"/>
        </w:rPr>
        <w:t> </w:t>
      </w:r>
      <w:r>
        <w:rPr>
          <w:spacing w:val="-6"/>
        </w:rPr>
        <w:t>καταθέσεις διαμορφώθηκαν</w:t>
      </w:r>
      <w:r>
        <w:rPr>
          <w:spacing w:val="-7"/>
        </w:rPr>
        <w:t> </w:t>
      </w:r>
      <w:r>
        <w:rPr>
          <w:spacing w:val="-6"/>
        </w:rPr>
        <w:t>σε</w:t>
      </w:r>
      <w:r>
        <w:rPr>
          <w:spacing w:val="-8"/>
        </w:rPr>
        <w:t> </w:t>
      </w:r>
      <w:r>
        <w:rPr>
          <w:spacing w:val="-6"/>
        </w:rPr>
        <w:t>€6,2</w:t>
      </w:r>
      <w:r>
        <w:rPr>
          <w:spacing w:val="-8"/>
        </w:rPr>
        <w:t> </w:t>
      </w:r>
      <w:r>
        <w:rPr>
          <w:spacing w:val="-6"/>
        </w:rPr>
        <w:t>δισ.</w:t>
      </w:r>
      <w:r>
        <w:rPr>
          <w:spacing w:val="-6"/>
        </w:rPr>
        <w:t> Ο</w:t>
      </w:r>
      <w:r>
        <w:rPr>
          <w:spacing w:val="-9"/>
        </w:rPr>
        <w:t> </w:t>
      </w:r>
      <w:r>
        <w:rPr>
          <w:spacing w:val="-6"/>
        </w:rPr>
        <w:t>Δείκτης</w:t>
      </w:r>
      <w:r>
        <w:rPr>
          <w:spacing w:val="-7"/>
        </w:rPr>
        <w:t> </w:t>
      </w:r>
      <w:r>
        <w:rPr>
          <w:spacing w:val="-6"/>
        </w:rPr>
        <w:t>Απόδοσης</w:t>
      </w:r>
      <w:r>
        <w:rPr>
          <w:spacing w:val="-8"/>
        </w:rPr>
        <w:t> </w:t>
      </w:r>
      <w:r>
        <w:rPr>
          <w:spacing w:val="-6"/>
        </w:rPr>
        <w:t>Ενσώματων</w:t>
      </w:r>
      <w:r>
        <w:rPr>
          <w:spacing w:val="-8"/>
        </w:rPr>
        <w:t> </w:t>
      </w:r>
      <w:r>
        <w:rPr>
          <w:spacing w:val="-6"/>
        </w:rPr>
        <w:t>Ιδίων</w:t>
      </w:r>
      <w:r>
        <w:rPr>
          <w:spacing w:val="-8"/>
        </w:rPr>
        <w:t> </w:t>
      </w:r>
      <w:r>
        <w:rPr>
          <w:spacing w:val="-6"/>
        </w:rPr>
        <w:t>Κεφαλαίων για</w:t>
      </w:r>
      <w:r>
        <w:rPr>
          <w:spacing w:val="-7"/>
        </w:rPr>
        <w:t> </w:t>
      </w:r>
      <w:r>
        <w:rPr>
          <w:spacing w:val="-6"/>
        </w:rPr>
        <w:t>το</w:t>
      </w:r>
      <w:r>
        <w:rPr>
          <w:spacing w:val="-7"/>
        </w:rPr>
        <w:t> </w:t>
      </w:r>
      <w:r>
        <w:rPr>
          <w:spacing w:val="-6"/>
        </w:rPr>
        <w:t>α’</w:t>
      </w:r>
      <w:r>
        <w:rPr>
          <w:spacing w:val="-7"/>
        </w:rPr>
        <w:t> </w:t>
      </w:r>
      <w:r>
        <w:rPr>
          <w:spacing w:val="-6"/>
        </w:rPr>
        <w:t>εξάμηνο</w:t>
      </w:r>
      <w:r>
        <w:rPr>
          <w:spacing w:val="-7"/>
        </w:rPr>
        <w:t> </w:t>
      </w:r>
      <w:r>
        <w:rPr>
          <w:spacing w:val="-6"/>
        </w:rPr>
        <w:t>2026 ανήλθε</w:t>
      </w:r>
      <w:r>
        <w:rPr>
          <w:spacing w:val="-8"/>
        </w:rPr>
        <w:t> </w:t>
      </w:r>
      <w:r>
        <w:rPr>
          <w:spacing w:val="-6"/>
        </w:rPr>
        <w:t>σε</w:t>
      </w:r>
      <w:r>
        <w:rPr>
          <w:spacing w:val="-10"/>
        </w:rPr>
        <w:t> </w:t>
      </w:r>
      <w:r>
        <w:rPr>
          <w:spacing w:val="-6"/>
        </w:rPr>
        <w:t>11,5%.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spacing w:before="1"/>
        <w:ind w:left="0" w:right="424" w:firstLine="0"/>
        <w:jc w:val="right"/>
        <w:rPr>
          <w:rFonts w:ascii="Tahoma" w:hAnsi="Tahoma"/>
          <w:b/>
          <w:sz w:val="20"/>
        </w:rPr>
      </w:pPr>
      <w:r>
        <w:rPr>
          <w:rFonts w:ascii="Tahoma" w:hAnsi="Tahoma"/>
          <w:b/>
          <w:w w:val="90"/>
          <w:sz w:val="20"/>
        </w:rPr>
        <w:t>Αθήνα,</w:t>
      </w:r>
      <w:r>
        <w:rPr>
          <w:rFonts w:ascii="Tahoma" w:hAnsi="Tahoma"/>
          <w:b/>
          <w:spacing w:val="12"/>
          <w:sz w:val="20"/>
        </w:rPr>
        <w:t> </w:t>
      </w:r>
      <w:r>
        <w:rPr>
          <w:rFonts w:ascii="Tahoma" w:hAnsi="Tahoma"/>
          <w:b/>
          <w:w w:val="90"/>
          <w:sz w:val="20"/>
        </w:rPr>
        <w:t>31</w:t>
      </w:r>
      <w:r>
        <w:rPr>
          <w:rFonts w:ascii="Tahoma" w:hAnsi="Tahoma"/>
          <w:b/>
          <w:spacing w:val="12"/>
          <w:sz w:val="20"/>
        </w:rPr>
        <w:t> </w:t>
      </w:r>
      <w:r>
        <w:rPr>
          <w:rFonts w:ascii="Tahoma" w:hAnsi="Tahoma"/>
          <w:b/>
          <w:w w:val="90"/>
          <w:sz w:val="20"/>
        </w:rPr>
        <w:t>Ιουλίου</w:t>
      </w:r>
      <w:r>
        <w:rPr>
          <w:rFonts w:ascii="Tahoma" w:hAnsi="Tahoma"/>
          <w:b/>
          <w:spacing w:val="13"/>
          <w:sz w:val="20"/>
        </w:rPr>
        <w:t> </w:t>
      </w:r>
      <w:r>
        <w:rPr>
          <w:rFonts w:ascii="Tahoma" w:hAnsi="Tahoma"/>
          <w:b/>
          <w:spacing w:val="-4"/>
          <w:w w:val="90"/>
          <w:sz w:val="20"/>
        </w:rPr>
        <w:t>2026</w:t>
      </w:r>
    </w:p>
    <w:p>
      <w:pPr>
        <w:spacing w:after="0"/>
        <w:jc w:val="right"/>
        <w:rPr>
          <w:rFonts w:ascii="Tahoma" w:hAnsi="Tahoma"/>
          <w:b/>
          <w:sz w:val="20"/>
        </w:rPr>
        <w:sectPr>
          <w:pgSz w:w="11920" w:h="16850"/>
          <w:pgMar w:header="639" w:footer="648" w:top="1260" w:bottom="840" w:left="283" w:right="425"/>
        </w:sectPr>
      </w:pPr>
    </w:p>
    <w:p>
      <w:pPr>
        <w:pStyle w:val="Heading1"/>
        <w:spacing w:before="99" w:after="29"/>
        <w:ind w:left="393"/>
      </w:pPr>
      <w:r>
        <w:rPr>
          <w:color w:val="5B92C9"/>
          <w:spacing w:val="-4"/>
        </w:rPr>
        <w:t>Εναλλακτικοί Δείκτες</w:t>
      </w:r>
      <w:r>
        <w:rPr>
          <w:color w:val="5B92C9"/>
        </w:rPr>
        <w:t> </w:t>
      </w:r>
      <w:r>
        <w:rPr>
          <w:color w:val="5B92C9"/>
          <w:spacing w:val="-4"/>
        </w:rPr>
        <w:t>Μέτρησης Απόδοσης</w:t>
      </w:r>
      <w:r>
        <w:rPr>
          <w:color w:val="5B92C9"/>
          <w:spacing w:val="-3"/>
        </w:rPr>
        <w:t> </w:t>
      </w:r>
      <w:r>
        <w:rPr>
          <w:color w:val="5B92C9"/>
          <w:spacing w:val="-4"/>
        </w:rPr>
        <w:t>(ΕΔΜΑ)</w:t>
      </w:r>
    </w:p>
    <w:tbl>
      <w:tblPr>
        <w:tblW w:w="0" w:type="auto"/>
        <w:jc w:val="left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"/>
        <w:gridCol w:w="1557"/>
        <w:gridCol w:w="5955"/>
        <w:gridCol w:w="1701"/>
      </w:tblGrid>
      <w:tr>
        <w:trPr>
          <w:trHeight w:val="290" w:hRule="atLeast"/>
        </w:trPr>
        <w:tc>
          <w:tcPr>
            <w:tcW w:w="725" w:type="dxa"/>
            <w:tcBorders>
              <w:top w:val="nil"/>
              <w:left w:val="nil"/>
            </w:tcBorders>
          </w:tcPr>
          <w:p>
            <w:pPr>
              <w:pStyle w:val="TableParagraph"/>
              <w:spacing w:line="144" w:lineRule="exact"/>
              <w:ind w:left="21" w:firstLine="48"/>
              <w:rPr>
                <w:sz w:val="12"/>
              </w:rPr>
            </w:pPr>
            <w:r>
              <w:rPr>
                <w:color w:val="E2872E"/>
                <w:spacing w:val="-2"/>
                <w:sz w:val="12"/>
              </w:rPr>
              <w:t>Αριθμός</w:t>
            </w:r>
            <w:r>
              <w:rPr>
                <w:color w:val="E2872E"/>
                <w:sz w:val="12"/>
              </w:rPr>
              <w:t> </w:t>
            </w:r>
            <w:r>
              <w:rPr>
                <w:color w:val="E2872E"/>
                <w:spacing w:val="-6"/>
                <w:sz w:val="12"/>
              </w:rPr>
              <w:t>αναφοράς</w:t>
            </w:r>
          </w:p>
        </w:tc>
        <w:tc>
          <w:tcPr>
            <w:tcW w:w="1557" w:type="dxa"/>
            <w:tcBorders>
              <w:top w:val="nil"/>
            </w:tcBorders>
          </w:tcPr>
          <w:p>
            <w:pPr>
              <w:pStyle w:val="TableParagraph"/>
              <w:spacing w:before="69"/>
              <w:ind w:left="136"/>
              <w:rPr>
                <w:sz w:val="12"/>
              </w:rPr>
            </w:pPr>
            <w:r>
              <w:rPr>
                <w:color w:val="E2872E"/>
                <w:spacing w:val="-2"/>
                <w:sz w:val="12"/>
              </w:rPr>
              <w:t>Ονομασία</w:t>
            </w:r>
          </w:p>
        </w:tc>
        <w:tc>
          <w:tcPr>
            <w:tcW w:w="5955" w:type="dxa"/>
            <w:tcBorders>
              <w:top w:val="nil"/>
            </w:tcBorders>
          </w:tcPr>
          <w:p>
            <w:pPr>
              <w:pStyle w:val="TableParagraph"/>
              <w:spacing w:before="69"/>
              <w:ind w:left="106"/>
              <w:rPr>
                <w:sz w:val="12"/>
              </w:rPr>
            </w:pPr>
            <w:r>
              <w:rPr>
                <w:color w:val="E2872E"/>
                <w:spacing w:val="-2"/>
                <w:sz w:val="12"/>
              </w:rPr>
              <w:t>Ορισμός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TableParagraph"/>
              <w:spacing w:before="69"/>
              <w:ind w:right="121"/>
              <w:jc w:val="center"/>
              <w:rPr>
                <w:sz w:val="12"/>
              </w:rPr>
            </w:pPr>
            <w:r>
              <w:rPr>
                <w:color w:val="E2872E"/>
                <w:spacing w:val="-2"/>
                <w:sz w:val="12"/>
              </w:rPr>
              <w:t>Σημασία</w:t>
            </w:r>
          </w:p>
        </w:tc>
      </w:tr>
      <w:tr>
        <w:trPr>
          <w:trHeight w:val="729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71"/>
              <w:rPr>
                <w:sz w:val="12"/>
              </w:rPr>
            </w:pPr>
            <w:r>
              <w:rPr>
                <w:spacing w:val="-10"/>
                <w:w w:val="95"/>
                <w:sz w:val="12"/>
              </w:rPr>
              <w:t>1</w:t>
            </w:r>
          </w:p>
        </w:tc>
        <w:tc>
          <w:tcPr>
            <w:tcW w:w="1557" w:type="dxa"/>
          </w:tcPr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Συσσωρευμένες</w:t>
            </w:r>
            <w:r>
              <w:rPr>
                <w:sz w:val="12"/>
              </w:rPr>
              <w:t> προβλέψεις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(ή</w:t>
            </w:r>
          </w:p>
          <w:p>
            <w:pPr>
              <w:pStyle w:val="TableParagraph"/>
              <w:ind w:left="141" w:right="131"/>
              <w:rPr>
                <w:sz w:val="12"/>
              </w:rPr>
            </w:pPr>
            <w:r>
              <w:rPr>
                <w:w w:val="90"/>
                <w:sz w:val="12"/>
              </w:rPr>
              <w:t>απόθεμα</w:t>
            </w:r>
            <w:r>
              <w:rPr>
                <w:spacing w:val="-7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προβλέψεων)</w:t>
            </w:r>
            <w:r>
              <w:rPr>
                <w:sz w:val="12"/>
              </w:rPr>
              <w:t> και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προσαρμογές</w:t>
            </w:r>
          </w:p>
          <w:p>
            <w:pPr>
              <w:pStyle w:val="TableParagraph"/>
              <w:spacing w:line="129" w:lineRule="exact"/>
              <w:ind w:left="141"/>
              <w:rPr>
                <w:sz w:val="12"/>
              </w:rPr>
            </w:pPr>
            <w:r>
              <w:rPr>
                <w:w w:val="90"/>
                <w:sz w:val="12"/>
              </w:rPr>
              <w:t>εύλογης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2"/>
                <w:sz w:val="12"/>
              </w:rPr>
              <w:t>αξίας</w:t>
            </w:r>
          </w:p>
        </w:tc>
        <w:tc>
          <w:tcPr>
            <w:tcW w:w="5955" w:type="dxa"/>
          </w:tcPr>
          <w:p>
            <w:pPr>
              <w:pStyle w:val="TableParagraph"/>
              <w:spacing w:line="145" w:lineRule="exact" w:before="71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Το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σύνολο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Ζηµιών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αποµείωσης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και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προβλέψεων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για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την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κάλυψη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του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πιστωτικού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κινδύνου</w:t>
            </w:r>
          </w:p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δανείων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απαιτήσεων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κατά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πελατών,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προβλέψεις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απομείωσης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για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στοιχεία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εκτός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ισολογισμού,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όπως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ορίζονται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στις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Ενοποιημένες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Οικονομικές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καταστάσεις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και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τις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προσαρμογές</w:t>
            </w:r>
          </w:p>
          <w:p>
            <w:pPr>
              <w:pStyle w:val="TableParagraph"/>
              <w:spacing w:line="145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εύλογης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αξίας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(10).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right="12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290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8"/>
              <w:ind w:left="271"/>
              <w:rPr>
                <w:sz w:val="12"/>
              </w:rPr>
            </w:pPr>
            <w:r>
              <w:rPr>
                <w:spacing w:val="-10"/>
                <w:w w:val="95"/>
                <w:sz w:val="12"/>
              </w:rPr>
              <w:t>2</w:t>
            </w:r>
          </w:p>
        </w:tc>
        <w:tc>
          <w:tcPr>
            <w:tcW w:w="1557" w:type="dxa"/>
          </w:tcPr>
          <w:p>
            <w:pPr>
              <w:pStyle w:val="TableParagraph"/>
              <w:spacing w:line="144" w:lineRule="exact"/>
              <w:ind w:left="141"/>
              <w:rPr>
                <w:sz w:val="12"/>
              </w:rPr>
            </w:pPr>
            <w:r>
              <w:rPr>
                <w:sz w:val="12"/>
              </w:rPr>
              <w:t>Κύρια έσοδα από </w:t>
            </w:r>
            <w:r>
              <w:rPr>
                <w:spacing w:val="-4"/>
                <w:sz w:val="12"/>
              </w:rPr>
              <w:t>Τραπεζικές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εργασίες</w:t>
            </w:r>
          </w:p>
        </w:tc>
        <w:tc>
          <w:tcPr>
            <w:tcW w:w="5955" w:type="dxa"/>
          </w:tcPr>
          <w:p>
            <w:pPr>
              <w:pStyle w:val="TableParagraph"/>
              <w:spacing w:line="144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Το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σύνολο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Καθαρού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Εσόδου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τόκους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και των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Εσόδων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αμοιβές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υπηρεσιών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ορίζεται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στην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Ενοποιημένη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Κατάσταση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Αποτελεσμάτων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δημοσίευσης.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8"/>
              <w:ind w:right="124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582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7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71"/>
              <w:rPr>
                <w:sz w:val="12"/>
              </w:rPr>
            </w:pPr>
            <w:r>
              <w:rPr>
                <w:spacing w:val="-10"/>
                <w:w w:val="95"/>
                <w:sz w:val="12"/>
              </w:rPr>
              <w:t>3</w:t>
            </w:r>
          </w:p>
        </w:tc>
        <w:tc>
          <w:tcPr>
            <w:tcW w:w="1557" w:type="dxa"/>
          </w:tcPr>
          <w:p>
            <w:pPr>
              <w:pStyle w:val="TableParagraph"/>
              <w:spacing w:before="7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Κύριες</w:t>
            </w:r>
            <w:r>
              <w:rPr>
                <w:spacing w:val="-2"/>
                <w:sz w:val="12"/>
              </w:rPr>
              <w:t> Καταθέσεις</w:t>
            </w:r>
          </w:p>
        </w:tc>
        <w:tc>
          <w:tcPr>
            <w:tcW w:w="5955" w:type="dxa"/>
          </w:tcPr>
          <w:p>
            <w:pPr>
              <w:pStyle w:val="TableParagraph"/>
              <w:spacing w:line="143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Το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σύνολο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καταθέσεων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"όψεως"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και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"επιταγών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πληρωτέων"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όπως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ορίζονται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4"/>
                <w:w w:val="90"/>
                <w:sz w:val="12"/>
              </w:rPr>
              <w:t>στην</w:t>
            </w:r>
          </w:p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Ενοποιημένη Κατάσταση Αποτελεσμάτων της περιόδου δημοσίευσης, λαμβανομένων υπόψη τυχόν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αναμορφώσεων στα εν λόγω κονδύλια (γίνεται αναφορά στην ενότητα "πρόσθετες πληροφορίες"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των</w:t>
            </w:r>
          </w:p>
          <w:p>
            <w:pPr>
              <w:pStyle w:val="TableParagraph"/>
              <w:spacing w:line="128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οικονομικών</w:t>
            </w:r>
            <w:r>
              <w:rPr>
                <w:spacing w:val="15"/>
                <w:sz w:val="12"/>
              </w:rPr>
              <w:t> </w:t>
            </w:r>
            <w:r>
              <w:rPr>
                <w:w w:val="90"/>
                <w:sz w:val="12"/>
              </w:rPr>
              <w:t>καταστάσεων</w:t>
            </w:r>
            <w:r>
              <w:rPr>
                <w:spacing w:val="12"/>
                <w:sz w:val="12"/>
              </w:rPr>
              <w:t> </w:t>
            </w:r>
            <w:r>
              <w:rPr>
                <w:w w:val="90"/>
                <w:sz w:val="12"/>
              </w:rPr>
              <w:t>του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Ομίλου).</w:t>
            </w:r>
          </w:p>
        </w:tc>
        <w:tc>
          <w:tcPr>
            <w:tcW w:w="1701" w:type="dxa"/>
          </w:tcPr>
          <w:p>
            <w:pPr>
              <w:pStyle w:val="TableParagraph"/>
              <w:spacing w:before="7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right="12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290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8"/>
              <w:ind w:left="271"/>
              <w:rPr>
                <w:sz w:val="12"/>
              </w:rPr>
            </w:pPr>
            <w:r>
              <w:rPr>
                <w:spacing w:val="-10"/>
                <w:w w:val="95"/>
                <w:sz w:val="12"/>
              </w:rPr>
              <w:t>4</w:t>
            </w:r>
          </w:p>
        </w:tc>
        <w:tc>
          <w:tcPr>
            <w:tcW w:w="1557" w:type="dxa"/>
          </w:tcPr>
          <w:p>
            <w:pPr>
              <w:pStyle w:val="TableParagraph"/>
              <w:spacing w:line="144" w:lineRule="exact"/>
              <w:ind w:left="141" w:right="131"/>
              <w:rPr>
                <w:sz w:val="12"/>
              </w:rPr>
            </w:pPr>
            <w:r>
              <w:rPr>
                <w:spacing w:val="-4"/>
                <w:sz w:val="12"/>
              </w:rPr>
              <w:t>Κύρια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Λειτουργικά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Έσοδα</w:t>
            </w:r>
          </w:p>
        </w:tc>
        <w:tc>
          <w:tcPr>
            <w:tcW w:w="5955" w:type="dxa"/>
          </w:tcPr>
          <w:p>
            <w:pPr>
              <w:pStyle w:val="TableParagraph"/>
              <w:spacing w:line="144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Λειτουργικά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Έσοδα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(38)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Αποτελέσματα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Χρηματοοικονομικών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Πράξεων (20) μείον αναπροσαρμογές διοίκησης στα λειτουργικά έσοδα της περιόδου δημοσίευσης</w:t>
            </w:r>
          </w:p>
        </w:tc>
        <w:tc>
          <w:tcPr>
            <w:tcW w:w="1701" w:type="dxa"/>
          </w:tcPr>
          <w:p>
            <w:pPr>
              <w:pStyle w:val="TableParagraph"/>
              <w:spacing w:before="68"/>
              <w:ind w:right="124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292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71"/>
              <w:ind w:left="271"/>
              <w:rPr>
                <w:sz w:val="12"/>
              </w:rPr>
            </w:pPr>
            <w:r>
              <w:rPr>
                <w:spacing w:val="-10"/>
                <w:w w:val="95"/>
                <w:sz w:val="12"/>
              </w:rPr>
              <w:t>5</w:t>
            </w:r>
          </w:p>
        </w:tc>
        <w:tc>
          <w:tcPr>
            <w:tcW w:w="1557" w:type="dxa"/>
          </w:tcPr>
          <w:p>
            <w:pPr>
              <w:pStyle w:val="TableParagraph"/>
              <w:spacing w:line="146" w:lineRule="exact"/>
              <w:ind w:left="141" w:right="131"/>
              <w:rPr>
                <w:sz w:val="12"/>
              </w:rPr>
            </w:pPr>
            <w:r>
              <w:rPr>
                <w:spacing w:val="-4"/>
                <w:sz w:val="12"/>
              </w:rPr>
              <w:t>Κύρια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Αποτελέσματα</w:t>
            </w:r>
            <w:r>
              <w:rPr>
                <w:sz w:val="12"/>
              </w:rPr>
              <w:t> προ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Προβλέψεων</w:t>
            </w:r>
          </w:p>
        </w:tc>
        <w:tc>
          <w:tcPr>
            <w:tcW w:w="5955" w:type="dxa"/>
          </w:tcPr>
          <w:p>
            <w:pPr>
              <w:pStyle w:val="TableParagraph"/>
              <w:spacing w:line="146" w:lineRule="exact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Κύρια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Έσοδα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(4)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επαναλαμβανόμενα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Έξοδα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(49)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για</w:t>
            </w:r>
            <w:r>
              <w:rPr>
                <w:sz w:val="12"/>
              </w:rPr>
              <w:t> την περίοδο 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71"/>
              <w:ind w:right="124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873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9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71"/>
              <w:rPr>
                <w:sz w:val="12"/>
              </w:rPr>
            </w:pPr>
            <w:r>
              <w:rPr>
                <w:spacing w:val="-10"/>
                <w:w w:val="95"/>
                <w:sz w:val="12"/>
              </w:rPr>
              <w:t>6</w:t>
            </w:r>
          </w:p>
        </w:tc>
        <w:tc>
          <w:tcPr>
            <w:tcW w:w="1557" w:type="dxa"/>
          </w:tcPr>
          <w:p>
            <w:pPr>
              <w:pStyle w:val="TableParagraph"/>
              <w:ind w:left="141" w:right="184"/>
              <w:rPr>
                <w:sz w:val="12"/>
              </w:rPr>
            </w:pPr>
            <w:r>
              <w:rPr>
                <w:sz w:val="12"/>
              </w:rPr>
              <w:t>Προβλέψεις για την κάλυψη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πιστωτικού </w:t>
            </w:r>
            <w:r>
              <w:rPr>
                <w:spacing w:val="-4"/>
                <w:sz w:val="12"/>
              </w:rPr>
              <w:t>κινδύνου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ποσοστό</w:t>
            </w:r>
            <w:r>
              <w:rPr>
                <w:sz w:val="12"/>
              </w:rPr>
              <w:t> των χορηγήσεων ή Κόστος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πιστωτικού</w:t>
            </w:r>
          </w:p>
          <w:p>
            <w:pPr>
              <w:pStyle w:val="TableParagraph"/>
              <w:spacing w:line="127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κινδύνου</w:t>
            </w:r>
          </w:p>
        </w:tc>
        <w:tc>
          <w:tcPr>
            <w:tcW w:w="5955" w:type="dxa"/>
          </w:tcPr>
          <w:p>
            <w:pPr>
              <w:pStyle w:val="TableParagraph"/>
              <w:spacing w:before="140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Προβλέψεις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για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κάλυψη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πιστωτικού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κινδύνου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(15)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περιόδου,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τoν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μέσο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όρο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δανείων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μετά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από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Συσσωρευμένες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προβλέψεις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αντίστοιχης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περιόδου.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Το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μέσο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δανειακό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υπόλοιπο</w:t>
            </w:r>
          </w:p>
          <w:p>
            <w:pPr>
              <w:pStyle w:val="TableParagraph"/>
              <w:spacing w:before="2"/>
              <w:ind w:left="156" w:right="140"/>
              <w:rPr>
                <w:sz w:val="12"/>
              </w:rPr>
            </w:pPr>
            <w:r>
              <w:rPr>
                <w:spacing w:val="-4"/>
                <w:sz w:val="12"/>
              </w:rPr>
              <w:t>ορίζεται ως ο αριθμητικός μέσος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όρος του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υπολοίπου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δανείων στο τέλος της περιόδου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και στο τέλος</w:t>
            </w:r>
            <w:r>
              <w:rPr>
                <w:sz w:val="12"/>
              </w:rPr>
              <w:t> της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προηγούμενης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περιόδου.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440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290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9"/>
              <w:ind w:left="271"/>
              <w:rPr>
                <w:sz w:val="12"/>
              </w:rPr>
            </w:pPr>
            <w:r>
              <w:rPr>
                <w:spacing w:val="-10"/>
                <w:w w:val="95"/>
                <w:sz w:val="12"/>
              </w:rPr>
              <w:t>7</w:t>
            </w:r>
          </w:p>
        </w:tc>
        <w:tc>
          <w:tcPr>
            <w:tcW w:w="1557" w:type="dxa"/>
          </w:tcPr>
          <w:p>
            <w:pPr>
              <w:pStyle w:val="TableParagraph"/>
              <w:spacing w:line="144" w:lineRule="exact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Κόστους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προς</w:t>
            </w:r>
            <w:r>
              <w:rPr>
                <w:sz w:val="12"/>
              </w:rPr>
              <w:t> Σύνολο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Ενεργητικού</w:t>
            </w:r>
          </w:p>
        </w:tc>
        <w:tc>
          <w:tcPr>
            <w:tcW w:w="5955" w:type="dxa"/>
          </w:tcPr>
          <w:p>
            <w:pPr>
              <w:pStyle w:val="TableParagraph"/>
              <w:spacing w:line="144" w:lineRule="exact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Επαναλλαμβανόμενα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έξοδα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(49)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(ετησιοποιημένα)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διαιρούμενα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με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z w:val="12"/>
              </w:rPr>
              <w:t> Σύνολο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Ενεργητικού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(20).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9"/>
              <w:ind w:right="124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αποδοτικότητας</w:t>
            </w:r>
          </w:p>
        </w:tc>
      </w:tr>
      <w:tr>
        <w:trPr>
          <w:trHeight w:val="292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71"/>
              <w:ind w:left="271"/>
              <w:rPr>
                <w:sz w:val="12"/>
              </w:rPr>
            </w:pPr>
            <w:r>
              <w:rPr>
                <w:spacing w:val="-10"/>
                <w:w w:val="95"/>
                <w:sz w:val="12"/>
              </w:rPr>
              <w:t>8</w:t>
            </w:r>
          </w:p>
        </w:tc>
        <w:tc>
          <w:tcPr>
            <w:tcW w:w="1557" w:type="dxa"/>
          </w:tcPr>
          <w:p>
            <w:pPr>
              <w:pStyle w:val="TableParagraph"/>
              <w:spacing w:before="71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Καταθέσεις</w:t>
            </w:r>
          </w:p>
        </w:tc>
        <w:tc>
          <w:tcPr>
            <w:tcW w:w="5955" w:type="dxa"/>
          </w:tcPr>
          <w:p>
            <w:pPr>
              <w:pStyle w:val="TableParagraph"/>
              <w:spacing w:line="146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 όρος αυτός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 στις «Υποχρεώσεις προς πελάτες»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δημοσιεύεται στον Ενοποιημένο</w:t>
            </w:r>
            <w:r>
              <w:rPr>
                <w:sz w:val="12"/>
              </w:rPr>
              <w:t> Ισολογισμό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της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περιόδου</w:t>
            </w:r>
            <w:r>
              <w:rPr>
                <w:spacing w:val="-10"/>
                <w:sz w:val="12"/>
              </w:rPr>
              <w:t> </w:t>
            </w:r>
            <w:r>
              <w:rPr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71"/>
              <w:ind w:right="12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290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8"/>
              <w:ind w:left="271"/>
              <w:rPr>
                <w:sz w:val="12"/>
              </w:rPr>
            </w:pPr>
            <w:r>
              <w:rPr>
                <w:spacing w:val="-10"/>
                <w:w w:val="95"/>
                <w:sz w:val="12"/>
              </w:rPr>
              <w:t>9</w:t>
            </w:r>
          </w:p>
        </w:tc>
        <w:tc>
          <w:tcPr>
            <w:tcW w:w="1557" w:type="dxa"/>
          </w:tcPr>
          <w:p>
            <w:pPr>
              <w:pStyle w:val="TableParagraph"/>
              <w:spacing w:before="68"/>
              <w:ind w:left="141"/>
              <w:rPr>
                <w:sz w:val="12"/>
              </w:rPr>
            </w:pPr>
            <w:r>
              <w:rPr>
                <w:w w:val="85"/>
                <w:sz w:val="12"/>
              </w:rPr>
              <w:t>Έκτακτα</w:t>
            </w:r>
            <w:r>
              <w:rPr>
                <w:spacing w:val="10"/>
                <w:sz w:val="12"/>
              </w:rPr>
              <w:t> </w:t>
            </w:r>
            <w:r>
              <w:rPr>
                <w:spacing w:val="-2"/>
                <w:sz w:val="12"/>
              </w:rPr>
              <w:t>Έξοδα</w:t>
            </w:r>
          </w:p>
        </w:tc>
        <w:tc>
          <w:tcPr>
            <w:tcW w:w="5955" w:type="dxa"/>
          </w:tcPr>
          <w:p>
            <w:pPr>
              <w:pStyle w:val="TableParagraph"/>
              <w:spacing w:line="144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Αναπροσαρμογές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διοίκησης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λειτουργικά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έξοδα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δεν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σχετίζονται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με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άλλα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κονδύλια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z w:val="12"/>
              </w:rPr>
              <w:t> Κατάστασης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Αποτελεσμάτων</w:t>
            </w:r>
            <w:r>
              <w:rPr>
                <w:spacing w:val="-10"/>
                <w:sz w:val="12"/>
              </w:rPr>
              <w:t> </w:t>
            </w:r>
            <w:r>
              <w:rPr>
                <w:sz w:val="12"/>
              </w:rPr>
              <w:t>Χρήσης.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92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71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10</w:t>
            </w:r>
          </w:p>
        </w:tc>
        <w:tc>
          <w:tcPr>
            <w:tcW w:w="1557" w:type="dxa"/>
          </w:tcPr>
          <w:p>
            <w:pPr>
              <w:pStyle w:val="TableParagraph"/>
              <w:spacing w:line="146" w:lineRule="exact"/>
              <w:ind w:left="141" w:right="601"/>
              <w:rPr>
                <w:sz w:val="12"/>
              </w:rPr>
            </w:pPr>
            <w:r>
              <w:rPr>
                <w:spacing w:val="-2"/>
                <w:sz w:val="12"/>
              </w:rPr>
              <w:t>Προσαρμογές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εύλογης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2"/>
                <w:sz w:val="12"/>
              </w:rPr>
              <w:t>αξίας</w:t>
            </w:r>
          </w:p>
        </w:tc>
        <w:tc>
          <w:tcPr>
            <w:tcW w:w="5955" w:type="dxa"/>
          </w:tcPr>
          <w:p>
            <w:pPr>
              <w:pStyle w:val="TableParagraph"/>
              <w:spacing w:line="146" w:lineRule="exact"/>
              <w:ind w:left="156" w:right="521"/>
              <w:rPr>
                <w:sz w:val="12"/>
              </w:rPr>
            </w:pPr>
            <w:r>
              <w:rPr>
                <w:spacing w:val="-2"/>
                <w:sz w:val="12"/>
              </w:rPr>
              <w:t>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όρος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αυτός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αντιστοιχεί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στις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συσσωρευμένες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αναπροσαρμογές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εύλογης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αξίας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για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τα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μη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εξυπηρετούμενα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ανοίγματα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αποτιμώνται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στην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εύλογη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αξία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μέσω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αποτελεσμάτων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(FVTPL).</w:t>
            </w:r>
          </w:p>
        </w:tc>
        <w:tc>
          <w:tcPr>
            <w:tcW w:w="1701" w:type="dxa"/>
          </w:tcPr>
          <w:p>
            <w:pPr>
              <w:pStyle w:val="TableParagraph"/>
              <w:spacing w:before="71"/>
              <w:ind w:right="12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873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9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11</w:t>
            </w:r>
          </w:p>
        </w:tc>
        <w:tc>
          <w:tcPr>
            <w:tcW w:w="1557" w:type="dxa"/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Έσοδα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αμοιβές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υπηρεσιών</w:t>
            </w:r>
          </w:p>
        </w:tc>
        <w:tc>
          <w:tcPr>
            <w:tcW w:w="5955" w:type="dxa"/>
          </w:tcPr>
          <w:p>
            <w:pPr>
              <w:pStyle w:val="TableParagraph"/>
              <w:spacing w:line="237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άθροισμα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Καθαρών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εσόδων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αµοιβές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προµήθειες,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εσόδων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διαχείρισης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ακινήτων,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όπως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ορίζεται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στην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Ενοποιημένη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Κατάσταση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Αποτελεσμάτων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</w:p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6"/>
                <w:sz w:val="12"/>
              </w:rPr>
              <w:t>περιόδου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6"/>
                <w:sz w:val="12"/>
              </w:rPr>
              <w:t>δημοσίευσης,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6"/>
                <w:sz w:val="12"/>
              </w:rPr>
              <w:t>συμπεριλαμβανομένων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6"/>
                <w:sz w:val="12"/>
              </w:rPr>
              <w:t>των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6"/>
                <w:sz w:val="12"/>
              </w:rPr>
              <w:t>ροών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6"/>
                <w:sz w:val="12"/>
              </w:rPr>
              <w:t>μερισμάτων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6"/>
                <w:sz w:val="12"/>
              </w:rPr>
              <w:t>που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6"/>
                <w:sz w:val="12"/>
              </w:rPr>
              <w:t>προέρχονται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6"/>
                <w:sz w:val="12"/>
              </w:rPr>
              <w:t>από</w:t>
            </w:r>
          </w:p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συμμετοχές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σε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εταιρίες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διαχείρισης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ακίνητης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περιουσίας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(REITs)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μη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συμπεριλαμβανομένων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Κερδών/(ζημιών)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αποτίμησης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επενδυτικών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ακινήτων.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9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right="124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827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4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12</w:t>
            </w:r>
          </w:p>
        </w:tc>
        <w:tc>
          <w:tcPr>
            <w:tcW w:w="1557" w:type="dxa"/>
          </w:tcPr>
          <w:p>
            <w:pPr>
              <w:pStyle w:val="TableParagraph"/>
              <w:spacing w:before="44"/>
              <w:ind w:left="141"/>
              <w:rPr>
                <w:sz w:val="12"/>
              </w:rPr>
            </w:pPr>
            <w:r>
              <w:rPr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Κεφαλαίων </w:t>
            </w:r>
            <w:r>
              <w:rPr>
                <w:spacing w:val="-4"/>
                <w:sz w:val="12"/>
              </w:rPr>
              <w:t>Κοινών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Μετοχών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z w:val="12"/>
              </w:rPr>
              <w:t> Κατηγορίας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1 με</w:t>
            </w:r>
          </w:p>
          <w:p>
            <w:pPr>
              <w:pStyle w:val="TableParagraph"/>
              <w:ind w:left="141" w:right="145"/>
              <w:rPr>
                <w:sz w:val="12"/>
              </w:rPr>
            </w:pPr>
            <w:r>
              <w:rPr>
                <w:sz w:val="12"/>
              </w:rPr>
              <w:t>πλήρη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εφαρμογή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της </w:t>
            </w:r>
            <w:r>
              <w:rPr>
                <w:w w:val="90"/>
                <w:sz w:val="12"/>
              </w:rPr>
              <w:t>Βασιλείας</w:t>
            </w:r>
            <w:r>
              <w:rPr>
                <w:spacing w:val="-7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ΙΙΙ</w:t>
            </w:r>
            <w:r>
              <w:rPr>
                <w:spacing w:val="-6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(FL</w:t>
            </w:r>
            <w:r>
              <w:rPr>
                <w:spacing w:val="-6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CET1)</w:t>
            </w:r>
          </w:p>
        </w:tc>
        <w:tc>
          <w:tcPr>
            <w:tcW w:w="5955" w:type="dxa"/>
          </w:tcPr>
          <w:p>
            <w:pPr>
              <w:pStyle w:val="TableParagraph"/>
              <w:spacing w:before="118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w w:val="90"/>
                <w:sz w:val="12"/>
              </w:rPr>
              <w:t>Κεφάλαια Κοινών Μετοχών της Κατηγορίας 1 βάσει του Κανονισμού (ΕΕ) 2024/1623 (με πλήρη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εφαρμογή της Βασιλείας ΙΙΙ) ως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προς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το Σταθμισμένο έναντι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Κινδύνων Ενεργητικό (RWAs).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18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09" w:firstLine="156"/>
              <w:rPr>
                <w:sz w:val="12"/>
              </w:rPr>
            </w:pPr>
            <w:r>
              <w:rPr>
                <w:sz w:val="12"/>
              </w:rPr>
              <w:t>Εποπτικός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Δείκτης </w:t>
            </w:r>
            <w:r>
              <w:rPr>
                <w:spacing w:val="-6"/>
                <w:sz w:val="12"/>
              </w:rPr>
              <w:t>Κεφαλαιακής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6"/>
                <w:sz w:val="12"/>
              </w:rPr>
              <w:t>Ενίσχυσης</w:t>
            </w:r>
          </w:p>
        </w:tc>
      </w:tr>
      <w:tr>
        <w:trPr>
          <w:trHeight w:val="727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13</w:t>
            </w:r>
          </w:p>
        </w:tc>
        <w:tc>
          <w:tcPr>
            <w:tcW w:w="1557" w:type="dxa"/>
          </w:tcPr>
          <w:p>
            <w:pPr>
              <w:pStyle w:val="TableParagraph"/>
              <w:spacing w:before="140"/>
              <w:ind w:left="141" w:right="193"/>
              <w:rPr>
                <w:sz w:val="12"/>
              </w:rPr>
            </w:pPr>
            <w:r>
              <w:rPr>
                <w:spacing w:val="-4"/>
                <w:sz w:val="12"/>
              </w:rPr>
              <w:t>Δάνεια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Χορηγήσεις</w:t>
            </w:r>
            <w:r>
              <w:rPr>
                <w:sz w:val="12"/>
              </w:rPr>
              <w:t> ή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Δανειακό</w:t>
            </w:r>
          </w:p>
          <w:p>
            <w:pPr>
              <w:pStyle w:val="TableParagraph"/>
              <w:spacing w:line="145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χαρτοφυλάκιο</w:t>
            </w:r>
          </w:p>
        </w:tc>
        <w:tc>
          <w:tcPr>
            <w:tcW w:w="5955" w:type="dxa"/>
          </w:tcPr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«Δάνεια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απαιτήσεις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κατά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πελατών»,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ορίζεται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στον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Ενοποιημένο</w:t>
            </w:r>
            <w:r>
              <w:rPr>
                <w:spacing w:val="14"/>
                <w:sz w:val="12"/>
              </w:rPr>
              <w:t> </w:t>
            </w:r>
            <w:r>
              <w:rPr>
                <w:w w:val="90"/>
                <w:sz w:val="12"/>
              </w:rPr>
              <w:t>Ισολογισμό</w:t>
            </w:r>
            <w:r>
              <w:rPr>
                <w:spacing w:val="15"/>
                <w:sz w:val="12"/>
              </w:rPr>
              <w:t> </w:t>
            </w:r>
            <w:r>
              <w:rPr>
                <w:w w:val="90"/>
                <w:sz w:val="12"/>
              </w:rPr>
              <w:t>της</w:t>
            </w:r>
            <w:r>
              <w:rPr>
                <w:spacing w:val="12"/>
                <w:sz w:val="12"/>
              </w:rPr>
              <w:t> </w:t>
            </w:r>
            <w:r>
              <w:rPr>
                <w:w w:val="90"/>
                <w:sz w:val="12"/>
              </w:rPr>
              <w:t>περιόδου</w:t>
            </w:r>
            <w:r>
              <w:rPr>
                <w:spacing w:val="13"/>
                <w:sz w:val="12"/>
              </w:rPr>
              <w:t> </w:t>
            </w:r>
            <w:r>
              <w:rPr>
                <w:w w:val="90"/>
                <w:sz w:val="12"/>
              </w:rPr>
              <w:t>αναφοράς,</w:t>
            </w:r>
            <w:r>
              <w:rPr>
                <w:spacing w:val="13"/>
                <w:sz w:val="12"/>
              </w:rPr>
              <w:t> </w:t>
            </w:r>
            <w:r>
              <w:rPr>
                <w:w w:val="90"/>
                <w:sz w:val="12"/>
              </w:rPr>
              <w:t>προ</w:t>
            </w:r>
            <w:r>
              <w:rPr>
                <w:spacing w:val="15"/>
                <w:sz w:val="12"/>
              </w:rPr>
              <w:t> </w:t>
            </w:r>
            <w:r>
              <w:rPr>
                <w:w w:val="90"/>
                <w:sz w:val="12"/>
              </w:rPr>
              <w:t>Συσσωρευμένων</w:t>
            </w:r>
            <w:r>
              <w:rPr>
                <w:spacing w:val="9"/>
                <w:sz w:val="12"/>
              </w:rPr>
              <w:t> </w:t>
            </w:r>
            <w:r>
              <w:rPr>
                <w:w w:val="90"/>
                <w:sz w:val="12"/>
              </w:rPr>
              <w:t>προβλέψεων</w:t>
            </w:r>
            <w:r>
              <w:rPr>
                <w:spacing w:val="10"/>
                <w:sz w:val="12"/>
              </w:rPr>
              <w:t> </w:t>
            </w:r>
            <w:r>
              <w:rPr>
                <w:spacing w:val="-5"/>
                <w:w w:val="90"/>
                <w:sz w:val="12"/>
              </w:rPr>
              <w:t>και</w:t>
            </w:r>
          </w:p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προσαρμογών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εύλογης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αξίας,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(1)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εξαιρώντας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συσσωρευμένες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προβλέψεις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απομείωσης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για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στοιχεία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εκτός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ισολογισμού,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ορίζονται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στις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Ενοποιημένες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sz w:val="12"/>
              </w:rPr>
              <w:t>Οικονομικές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καταστάσεις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της</w:t>
            </w:r>
          </w:p>
          <w:p>
            <w:pPr>
              <w:pStyle w:val="TableParagraph"/>
              <w:spacing w:line="128" w:lineRule="exact"/>
              <w:ind w:left="156"/>
              <w:rPr>
                <w:sz w:val="12"/>
              </w:rPr>
            </w:pPr>
            <w:r>
              <w:rPr>
                <w:spacing w:val="-2"/>
                <w:sz w:val="12"/>
              </w:rPr>
              <w:t>περιόδου.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right="12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292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8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14</w:t>
            </w:r>
          </w:p>
        </w:tc>
        <w:tc>
          <w:tcPr>
            <w:tcW w:w="1557" w:type="dxa"/>
          </w:tcPr>
          <w:p>
            <w:pPr>
              <w:pStyle w:val="TableParagraph"/>
              <w:spacing w:line="146" w:lineRule="exact"/>
              <w:ind w:left="141"/>
              <w:rPr>
                <w:sz w:val="12"/>
              </w:rPr>
            </w:pPr>
            <w:r>
              <w:rPr>
                <w:sz w:val="12"/>
              </w:rPr>
              <w:t>Επίπτωση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από </w:t>
            </w:r>
            <w:r>
              <w:rPr>
                <w:spacing w:val="-4"/>
                <w:sz w:val="12"/>
              </w:rPr>
              <w:t>Συναλλαγές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ΜΕΑ</w:t>
            </w:r>
          </w:p>
        </w:tc>
        <w:tc>
          <w:tcPr>
            <w:tcW w:w="5955" w:type="dxa"/>
          </w:tcPr>
          <w:p>
            <w:pPr>
              <w:pStyle w:val="TableParagraph"/>
              <w:spacing w:line="146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Προσαρμογές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διοίκησης στα στοιχεία/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λογαριασμούς εσόδων και εξόδων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ως αποτέλεσμα των</w:t>
            </w:r>
            <w:r>
              <w:rPr>
                <w:sz w:val="12"/>
              </w:rPr>
              <w:t> συναλλαγών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ΜΕΑ.</w:t>
            </w:r>
          </w:p>
        </w:tc>
        <w:tc>
          <w:tcPr>
            <w:tcW w:w="1701" w:type="dxa"/>
          </w:tcPr>
          <w:p>
            <w:pPr>
              <w:pStyle w:val="TableParagraph"/>
              <w:spacing w:line="146" w:lineRule="exact"/>
              <w:ind w:left="440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290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8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15</w:t>
            </w:r>
          </w:p>
        </w:tc>
        <w:tc>
          <w:tcPr>
            <w:tcW w:w="1557" w:type="dxa"/>
          </w:tcPr>
          <w:p>
            <w:pPr>
              <w:pStyle w:val="TableParagraph"/>
              <w:spacing w:before="68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Ζημιές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απομείωσης</w:t>
            </w:r>
          </w:p>
        </w:tc>
        <w:tc>
          <w:tcPr>
            <w:tcW w:w="5955" w:type="dxa"/>
          </w:tcPr>
          <w:p>
            <w:pPr>
              <w:pStyle w:val="TableParagraph"/>
              <w:spacing w:line="140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στις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ζημιές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απομειώσης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για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την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κάλυψη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πιστωτικού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κινδύνου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δανείων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(17)</w:t>
            </w:r>
          </w:p>
          <w:p>
            <w:pPr>
              <w:pStyle w:val="TableParagraph"/>
              <w:spacing w:line="129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μη</w:t>
            </w:r>
            <w:r>
              <w:rPr>
                <w:spacing w:val="16"/>
                <w:sz w:val="12"/>
              </w:rPr>
              <w:t> </w:t>
            </w:r>
            <w:r>
              <w:rPr>
                <w:w w:val="90"/>
                <w:sz w:val="12"/>
              </w:rPr>
              <w:t>συμπεριλαμβανομένων</w:t>
            </w:r>
            <w:r>
              <w:rPr>
                <w:spacing w:val="11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15"/>
                <w:sz w:val="12"/>
              </w:rPr>
              <w:t> </w:t>
            </w:r>
            <w:r>
              <w:rPr>
                <w:w w:val="90"/>
                <w:sz w:val="12"/>
              </w:rPr>
              <w:t>ζημιών</w:t>
            </w:r>
            <w:r>
              <w:rPr>
                <w:spacing w:val="15"/>
                <w:sz w:val="12"/>
              </w:rPr>
              <w:t> </w:t>
            </w:r>
            <w:r>
              <w:rPr>
                <w:w w:val="90"/>
                <w:sz w:val="12"/>
              </w:rPr>
              <w:t>απομείωσης</w:t>
            </w:r>
            <w:r>
              <w:rPr>
                <w:spacing w:val="15"/>
                <w:sz w:val="12"/>
              </w:rPr>
              <w:t> </w:t>
            </w:r>
            <w:r>
              <w:rPr>
                <w:w w:val="90"/>
                <w:sz w:val="12"/>
              </w:rPr>
              <w:t>σχετιζόμενων</w:t>
            </w:r>
            <w:r>
              <w:rPr>
                <w:spacing w:val="11"/>
                <w:sz w:val="12"/>
              </w:rPr>
              <w:t> </w:t>
            </w:r>
            <w:r>
              <w:rPr>
                <w:w w:val="90"/>
                <w:sz w:val="12"/>
              </w:rPr>
              <w:t>με</w:t>
            </w:r>
            <w:r>
              <w:rPr>
                <w:spacing w:val="15"/>
                <w:sz w:val="12"/>
              </w:rPr>
              <w:t> </w:t>
            </w:r>
            <w:r>
              <w:rPr>
                <w:w w:val="90"/>
                <w:sz w:val="12"/>
              </w:rPr>
              <w:t>συναλλαγές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4"/>
                <w:w w:val="90"/>
                <w:sz w:val="12"/>
              </w:rPr>
              <w:t>(18).</w:t>
            </w:r>
          </w:p>
        </w:tc>
        <w:tc>
          <w:tcPr>
            <w:tcW w:w="1701" w:type="dxa"/>
          </w:tcPr>
          <w:p>
            <w:pPr>
              <w:pStyle w:val="TableParagraph"/>
              <w:spacing w:line="140" w:lineRule="exact"/>
              <w:ind w:right="126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sz w:val="12"/>
              </w:rPr>
              <w:t>ποιότητας</w:t>
            </w:r>
          </w:p>
          <w:p>
            <w:pPr>
              <w:pStyle w:val="TableParagraph"/>
              <w:spacing w:line="129" w:lineRule="exact"/>
              <w:ind w:right="12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436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40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16</w:t>
            </w:r>
          </w:p>
        </w:tc>
        <w:tc>
          <w:tcPr>
            <w:tcW w:w="1557" w:type="dxa"/>
          </w:tcPr>
          <w:p>
            <w:pPr>
              <w:pStyle w:val="TableParagraph"/>
              <w:spacing w:before="68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Ζημιές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απομείωσης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σε</w:t>
            </w:r>
            <w:r>
              <w:rPr>
                <w:sz w:val="12"/>
              </w:rPr>
              <w:t> οργανικό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επίπεδο</w:t>
            </w:r>
          </w:p>
        </w:tc>
        <w:tc>
          <w:tcPr>
            <w:tcW w:w="5955" w:type="dxa"/>
          </w:tcPr>
          <w:p>
            <w:pPr>
              <w:pStyle w:val="TableParagraph"/>
              <w:spacing w:line="237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Ζημιές απομείωσης (15) μη συμπεριλαμβανομένων Εξόδων διαχείρισης δανείων και Εξόδων που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σχετίζονται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με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συναλλαγές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συνθετικής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τιτλοποίησης,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ορίζεται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στην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Κατάσταση</w:t>
            </w:r>
          </w:p>
          <w:p>
            <w:pPr>
              <w:pStyle w:val="TableParagraph"/>
              <w:spacing w:line="129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Αποτελεσμάτων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δημοσίευσης.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8"/>
              <w:ind w:left="440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1163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1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17</w:t>
            </w:r>
          </w:p>
        </w:tc>
        <w:tc>
          <w:tcPr>
            <w:tcW w:w="1557" w:type="dxa"/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Ζημιές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απομειώσης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ή</w:t>
            </w:r>
            <w:r>
              <w:rPr>
                <w:sz w:val="12"/>
              </w:rPr>
              <w:t> προβλέψεις για την κάλυψη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πιστωτικού κινδύνου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δανείων</w:t>
            </w:r>
          </w:p>
        </w:tc>
        <w:tc>
          <w:tcPr>
            <w:tcW w:w="5955" w:type="dxa"/>
          </w:tcPr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στις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ζημίες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απομείωσης και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προβλέψεις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για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την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κάλυψη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πιστωτικού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κινδύνου δανείων και απαιτήσεων κατά πελατών και συναφή έξοδα, όπως ορίζεται στην</w:t>
            </w:r>
          </w:p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Ενοποιημένη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Κατάσταση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Αποτελεσμάτων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δημοσίευσης,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λαμβανομένων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υπόψη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τυχόν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αναμορφώσεων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εν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λόγω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κονδύλια,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μείον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αναπροσαρμογές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διοίκησης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ζημιές</w:t>
            </w:r>
          </w:p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2"/>
                <w:sz w:val="12"/>
              </w:rPr>
              <w:t>απομείωσης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των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δανείων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δημοσίευσης.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Οι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αναπροσαρμογές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διοίκησης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για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ζημιές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απομείωσης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δανείων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περιλαμβάνουν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γεγονότα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δεν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συμβαίνουν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με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συγκεκριμένη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συχνότητα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γεγονότα που επηρεάζονται άμεσα από τις τρέχουσες συνθήκες της αγοράς ή/και παρουσιάζουν</w:t>
            </w:r>
          </w:p>
          <w:p>
            <w:pPr>
              <w:pStyle w:val="TableParagraph"/>
              <w:spacing w:line="126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σημαντικές</w:t>
            </w:r>
            <w:r>
              <w:rPr>
                <w:spacing w:val="11"/>
                <w:sz w:val="12"/>
              </w:rPr>
              <w:t> </w:t>
            </w:r>
            <w:r>
              <w:rPr>
                <w:w w:val="90"/>
                <w:sz w:val="12"/>
              </w:rPr>
              <w:t>διακυμάνσεις</w:t>
            </w:r>
            <w:r>
              <w:rPr>
                <w:spacing w:val="12"/>
                <w:sz w:val="12"/>
              </w:rPr>
              <w:t> </w:t>
            </w:r>
            <w:r>
              <w:rPr>
                <w:w w:val="90"/>
                <w:sz w:val="12"/>
              </w:rPr>
              <w:t>μεταξύ</w:t>
            </w:r>
            <w:r>
              <w:rPr>
                <w:spacing w:val="12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περιόδων</w:t>
            </w:r>
            <w:r>
              <w:rPr>
                <w:spacing w:val="12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1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right="12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438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43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18</w:t>
            </w:r>
          </w:p>
        </w:tc>
        <w:tc>
          <w:tcPr>
            <w:tcW w:w="1557" w:type="dxa"/>
          </w:tcPr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Ζημιές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απομείωσης</w:t>
            </w:r>
            <w:r>
              <w:rPr>
                <w:sz w:val="12"/>
              </w:rPr>
              <w:t> σχετικές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με</w:t>
            </w:r>
          </w:p>
          <w:p>
            <w:pPr>
              <w:pStyle w:val="TableParagraph"/>
              <w:spacing w:line="129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συναλλαγές</w:t>
            </w:r>
          </w:p>
        </w:tc>
        <w:tc>
          <w:tcPr>
            <w:tcW w:w="5955" w:type="dxa"/>
          </w:tcPr>
          <w:p>
            <w:pPr>
              <w:pStyle w:val="TableParagraph"/>
              <w:spacing w:before="71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Αντιπροσωπεύει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την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επίδραση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ενσωµάτωσης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σεναρίων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πώλησης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στην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εκτίµηση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αναµενόµενων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ζηµιών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πιστωτικού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κινδύνου.</w:t>
            </w:r>
          </w:p>
        </w:tc>
        <w:tc>
          <w:tcPr>
            <w:tcW w:w="1701" w:type="dxa"/>
          </w:tcPr>
          <w:p>
            <w:pPr>
              <w:pStyle w:val="TableParagraph"/>
              <w:spacing w:before="71"/>
              <w:ind w:left="440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1454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19</w:t>
            </w:r>
          </w:p>
        </w:tc>
        <w:tc>
          <w:tcPr>
            <w:tcW w:w="1557" w:type="dxa"/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Ζημιές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απομείωσης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&amp;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Κέρδη/(ζηµιές)</w:t>
            </w:r>
          </w:p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Χρηματοοικονομικών</w:t>
            </w:r>
            <w:r>
              <w:rPr>
                <w:sz w:val="12"/>
              </w:rPr>
              <w:t> μέσων,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παγίων</w:t>
            </w:r>
          </w:p>
          <w:p>
            <w:pPr>
              <w:pStyle w:val="TableParagraph"/>
              <w:ind w:left="141" w:right="131"/>
              <w:rPr>
                <w:sz w:val="12"/>
              </w:rPr>
            </w:pPr>
            <w:r>
              <w:rPr>
                <w:spacing w:val="-4"/>
                <w:sz w:val="12"/>
              </w:rPr>
              <w:t>στοιχείων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ενεργητικού</w:t>
            </w:r>
            <w:r>
              <w:rPr>
                <w:sz w:val="12"/>
              </w:rPr>
              <w:t> και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συμμετοχών</w:t>
            </w:r>
          </w:p>
        </w:tc>
        <w:tc>
          <w:tcPr>
            <w:tcW w:w="5955" w:type="dxa"/>
          </w:tcPr>
          <w:p>
            <w:pPr>
              <w:pStyle w:val="TableParagraph"/>
              <w:spacing w:line="140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άθροισμα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Ζημιών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απομείωσης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παγίων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συμμετοχών,</w:t>
            </w:r>
          </w:p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6"/>
                <w:sz w:val="12"/>
              </w:rPr>
              <w:t>Κερδών/(Ζημιών) από πώληση παγίων και συμμετοχών και Ζημιών απομείωσης, προβλέψεων για την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κάλυψη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πιστωτικού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κινδύνου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από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Χρηματοοικονομικές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Πράξεις,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όπως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ορίζεται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στην</w:t>
            </w:r>
          </w:p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Ενοποιημένη Κατάσταση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Αποτελεσμάτων της περιόδου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δημοσίευσης, μείον αναπροσαρμογές της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διοίκησης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ζημιές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απομείωσης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Κέρδη/(Ζηµιές)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παγίων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στοιχείων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και</w:t>
            </w:r>
          </w:p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spacing w:val="-2"/>
                <w:sz w:val="12"/>
              </w:rPr>
              <w:t>συμμετοχών.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Οι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αναπροσαρμογές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διοίκησης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Ζημιές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απομείωσης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Κέρδη/(Ζηµιές)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χρηματοοικονομικών μέσων, παγίων στοιχείων ενεργητικού και συμμετοχών περιλαμβάνουν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γεγονότα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που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δεν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συμβαίνουν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με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συγκεκριμένη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συχνότητα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και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γεγονότα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που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επηρεάζονται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άμεσα</w:t>
            </w:r>
          </w:p>
          <w:p>
            <w:pPr>
              <w:pStyle w:val="TableParagraph"/>
              <w:spacing w:line="144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από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τρέχουσες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συνθήκες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αγοράς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ή/και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παρουσιάζουν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σημαντικές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διακυμάνσεις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μεταξύ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z w:val="12"/>
              </w:rPr>
              <w:t> περιόδων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right="12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1746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4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20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46"/>
              <w:rPr>
                <w:sz w:val="12"/>
              </w:rPr>
            </w:pPr>
            <w:r>
              <w:rPr>
                <w:spacing w:val="-2"/>
                <w:sz w:val="12"/>
              </w:rPr>
              <w:t>Έσοδα</w:t>
            </w:r>
          </w:p>
          <w:p>
            <w:pPr>
              <w:pStyle w:val="TableParagraph"/>
              <w:spacing w:before="1"/>
              <w:ind w:left="146"/>
              <w:rPr>
                <w:sz w:val="12"/>
              </w:rPr>
            </w:pPr>
            <w:r>
              <w:rPr>
                <w:spacing w:val="-4"/>
                <w:sz w:val="12"/>
              </w:rPr>
              <w:t>Χρηματοοικονομικών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Πράξεων</w:t>
            </w:r>
          </w:p>
        </w:tc>
        <w:tc>
          <w:tcPr>
            <w:tcW w:w="5955" w:type="dxa"/>
          </w:tcPr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spacing w:val="-2"/>
                <w:sz w:val="12"/>
              </w:rPr>
              <w:t>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όρος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αυτός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αντιστοιχεί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σύνολο: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“Κέρδη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μείον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ζημίες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προκύπτουν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από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διακοπή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αναγνώρισης των χρηματοοικονομικών στοιχείων του ενεργητικού που αποτιμώνται στο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αναπόσβεστο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κόστος"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συν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τα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"Κέρδη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ζημίες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χρηματοικονομικές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συναλλαγές",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δημοσιεύονται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στην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Ενοποιημένη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Κατάσταση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Αποτελεσμάτων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αναφοράς,</w:t>
            </w:r>
          </w:p>
          <w:p>
            <w:pPr>
              <w:pStyle w:val="TableParagraph"/>
              <w:ind w:left="156" w:right="140"/>
              <w:rPr>
                <w:sz w:val="12"/>
              </w:rPr>
            </w:pPr>
            <w:r>
              <w:rPr>
                <w:spacing w:val="-4"/>
                <w:sz w:val="12"/>
              </w:rPr>
              <w:t>λαμβανομένης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υπόψη την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επίπτωση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στο Καθαρό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έσοδο Τόκων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προκύπτει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την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αντιστάθμιση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της καθαρής επένδυσης σε RON μέσω συναλλαγµατικών παραγώγων, ύψους €1,5 εκατ. το δ’ τρίμηνο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του 2024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και €2,5 εκατ. το α’ τρίμηνο του 2025, €3,1 εκατ. το β’ τρίμηνο του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2025,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€4 εκατ. το γ’</w:t>
            </w:r>
          </w:p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τρίμηνο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2025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€2,4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εκατ.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δ’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τρίμηνο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2025,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αναπροσαρμογές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διοίκησης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έσοδα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συναλλαγές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για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την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αντίστοιχη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περίοδο.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Τυχόν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αναπροσαρμογές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διοίκησης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Έσοδα Χρηματοοικονομικών Πράξεων περιλαμβάνουν γεγονότα που δεν συμβαίνουν με</w:t>
            </w:r>
          </w:p>
          <w:p>
            <w:pPr>
              <w:pStyle w:val="TableParagraph"/>
              <w:spacing w:line="144" w:lineRule="exact"/>
              <w:ind w:left="156" w:right="393"/>
              <w:rPr>
                <w:sz w:val="12"/>
              </w:rPr>
            </w:pPr>
            <w:r>
              <w:rPr>
                <w:spacing w:val="-4"/>
                <w:sz w:val="12"/>
              </w:rPr>
              <w:t>συγκεκριμένη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συχνότητα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γεγονότα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επηρεάζονται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άμεσα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τρέχουσες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συνθήκες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αγοράς ή/και παρουσιάζουν σημαντικές διακυμάνσεις μεταξύ των περιόδων αναφοράς.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4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right="12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873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1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21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1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72"/>
              <w:rPr>
                <w:sz w:val="12"/>
              </w:rPr>
            </w:pPr>
            <w:r>
              <w:rPr>
                <w:sz w:val="12"/>
              </w:rPr>
              <w:t>Φόρος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εισοδήµατος</w:t>
            </w:r>
          </w:p>
        </w:tc>
        <w:tc>
          <w:tcPr>
            <w:tcW w:w="5955" w:type="dxa"/>
          </w:tcPr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Ο όρος αυτός αντιστοιχεί στο Φόρο εισοδήματος, όπως δημοσιεύεται στις οικονομικές καταστάσεις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αναφοράς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Ομίλου,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μείον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αναπροσαρμογές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διοίκησης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στον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τρέχοντα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φόρο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χρήσης.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Τυχόν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αναπροσαρμογές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διοίκησης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Φόρο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εισοδήματος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περιλαμβάνουν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γεγονότα</w:t>
            </w:r>
          </w:p>
          <w:p>
            <w:pPr>
              <w:pStyle w:val="TableParagraph"/>
              <w:spacing w:line="145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που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δεν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συμβαίνουν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με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συγκεκριμένη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συχνότητα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και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γεγονότα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που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επηρεάζονται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άμεσα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από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5"/>
                <w:w w:val="90"/>
                <w:sz w:val="12"/>
              </w:rPr>
              <w:t>τις</w:t>
            </w:r>
          </w:p>
          <w:p>
            <w:pPr>
              <w:pStyle w:val="TableParagraph"/>
              <w:spacing w:line="144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τρέχουσες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συνθήκες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αγοράς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ή/και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παρουσιάζουν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σημαντικές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διακυμάνσεις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μεταξύ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περιόδων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1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right="124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</w:tbl>
    <w:p>
      <w:pPr>
        <w:pStyle w:val="TableParagraph"/>
        <w:spacing w:after="0"/>
        <w:jc w:val="center"/>
        <w:rPr>
          <w:sz w:val="12"/>
        </w:rPr>
        <w:sectPr>
          <w:headerReference w:type="default" r:id="rId19"/>
          <w:footerReference w:type="default" r:id="rId20"/>
          <w:pgSz w:w="11920" w:h="16850"/>
          <w:pgMar w:header="639" w:footer="648" w:top="1260" w:bottom="1129" w:left="283" w:right="425"/>
        </w:sectPr>
      </w:pPr>
    </w:p>
    <w:tbl>
      <w:tblPr>
        <w:tblW w:w="0" w:type="auto"/>
        <w:jc w:val="left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"/>
        <w:gridCol w:w="1557"/>
        <w:gridCol w:w="5955"/>
        <w:gridCol w:w="1701"/>
      </w:tblGrid>
      <w:tr>
        <w:trPr>
          <w:trHeight w:val="290" w:hRule="atLeast"/>
        </w:trPr>
        <w:tc>
          <w:tcPr>
            <w:tcW w:w="72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69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22</w:t>
            </w:r>
          </w:p>
        </w:tc>
        <w:tc>
          <w:tcPr>
            <w:tcW w:w="1557" w:type="dxa"/>
            <w:tcBorders>
              <w:top w:val="nil"/>
            </w:tcBorders>
          </w:tcPr>
          <w:p>
            <w:pPr>
              <w:pStyle w:val="TableParagraph"/>
              <w:spacing w:line="140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Συντελεστής</w:t>
            </w:r>
          </w:p>
          <w:p>
            <w:pPr>
              <w:pStyle w:val="TableParagraph"/>
              <w:spacing w:line="129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Μόχλευσης</w:t>
            </w:r>
          </w:p>
        </w:tc>
        <w:tc>
          <w:tcPr>
            <w:tcW w:w="5955" w:type="dxa"/>
            <w:tcBorders>
              <w:top w:val="nil"/>
            </w:tcBorders>
          </w:tcPr>
          <w:p>
            <w:pPr>
              <w:pStyle w:val="TableParagraph"/>
              <w:spacing w:line="140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Ο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Δείκτης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υπολογίζεται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από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τα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κεφάλαια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της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Κατηγορίας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Ι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(Tier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1)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διαιρούμενα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με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το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Σύνολο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5"/>
                <w:w w:val="90"/>
                <w:sz w:val="12"/>
              </w:rPr>
              <w:t>του</w:t>
            </w:r>
          </w:p>
          <w:p>
            <w:pPr>
              <w:pStyle w:val="TableParagraph"/>
              <w:spacing w:line="129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Ενεργητικού</w:t>
            </w:r>
            <w:r>
              <w:rPr>
                <w:spacing w:val="10"/>
                <w:sz w:val="12"/>
              </w:rPr>
              <w:t> </w:t>
            </w:r>
            <w:r>
              <w:rPr>
                <w:spacing w:val="-2"/>
                <w:sz w:val="12"/>
              </w:rPr>
              <w:t>(59).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TableParagraph"/>
              <w:spacing w:before="69"/>
              <w:ind w:left="4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424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6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23</w:t>
            </w:r>
          </w:p>
        </w:tc>
        <w:tc>
          <w:tcPr>
            <w:tcW w:w="1557" w:type="dxa"/>
          </w:tcPr>
          <w:p>
            <w:pPr>
              <w:pStyle w:val="TableParagraph"/>
              <w:spacing w:before="62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Δάνεια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προς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Καταθέσεις</w:t>
            </w:r>
          </w:p>
        </w:tc>
        <w:tc>
          <w:tcPr>
            <w:tcW w:w="5955" w:type="dxa"/>
          </w:tcPr>
          <w:p>
            <w:pPr>
              <w:pStyle w:val="TableParagraph"/>
              <w:spacing w:before="62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Ο λόγος των «Δανείων μετά από συσσωρευμένες προβλέψεις» (26) προς τις «Καταθέσεις» (8) της</w:t>
            </w:r>
            <w:r>
              <w:rPr>
                <w:sz w:val="12"/>
              </w:rPr>
              <w:t> περιόδου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6"/>
              <w:ind w:left="265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sz w:val="12"/>
              </w:rPr>
              <w:t>Ρευστότητας</w:t>
            </w:r>
          </w:p>
        </w:tc>
      </w:tr>
      <w:tr>
        <w:trPr>
          <w:trHeight w:val="726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24</w:t>
            </w:r>
          </w:p>
        </w:tc>
        <w:tc>
          <w:tcPr>
            <w:tcW w:w="1557" w:type="dxa"/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58"/>
              <w:rPr>
                <w:sz w:val="12"/>
              </w:rPr>
            </w:pPr>
            <w:r>
              <w:rPr>
                <w:spacing w:val="-4"/>
                <w:sz w:val="12"/>
              </w:rPr>
              <w:t>Καθαρό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Έσοδο Τόκων</w:t>
            </w:r>
          </w:p>
        </w:tc>
        <w:tc>
          <w:tcPr>
            <w:tcW w:w="5955" w:type="dxa"/>
          </w:tcPr>
          <w:p>
            <w:pPr>
              <w:pStyle w:val="TableParagraph"/>
              <w:ind w:left="156" w:right="612"/>
              <w:jc w:val="both"/>
              <w:rPr>
                <w:sz w:val="12"/>
              </w:rPr>
            </w:pPr>
            <w:r>
              <w:rPr>
                <w:spacing w:val="-4"/>
                <w:sz w:val="12"/>
              </w:rPr>
              <w:t>Καθαρό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έσοδο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τόκων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δημοσιεύεται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στην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Ενοποιημένη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Κατάσταση Αποτελεσμάτων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αναφοράς,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μη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λαμβανομένης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υπόψη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επίπτωσης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Καθαρό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έσοδο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Τόκων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προκύπτει από την αντιστάθμιση της καθαρής επένδυσης σε RON μέσω συναλλαγµατικών</w:t>
            </w:r>
          </w:p>
          <w:p>
            <w:pPr>
              <w:pStyle w:val="TableParagraph"/>
              <w:spacing w:line="144" w:lineRule="exact"/>
              <w:ind w:left="156" w:right="127"/>
              <w:jc w:val="both"/>
              <w:rPr>
                <w:sz w:val="12"/>
              </w:rPr>
            </w:pPr>
            <w:r>
              <w:rPr>
                <w:w w:val="90"/>
                <w:sz w:val="12"/>
              </w:rPr>
              <w:t>παραγώγων,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ύψους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€1,5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εκατ.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το</w:t>
            </w:r>
            <w:r>
              <w:rPr>
                <w:spacing w:val="-2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δ’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τρίμηνο</w:t>
            </w:r>
            <w:r>
              <w:rPr>
                <w:spacing w:val="-5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του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2024,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€2,5</w:t>
            </w:r>
            <w:r>
              <w:rPr>
                <w:spacing w:val="-5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εκατ.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το</w:t>
            </w:r>
            <w:r>
              <w:rPr>
                <w:spacing w:val="-2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α’</w:t>
            </w:r>
            <w:r>
              <w:rPr>
                <w:spacing w:val="-5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τρίμηνο</w:t>
            </w:r>
            <w:r>
              <w:rPr>
                <w:spacing w:val="-2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του</w:t>
            </w:r>
            <w:r>
              <w:rPr>
                <w:spacing w:val="-5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2025,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€3,1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εκατ.</w:t>
            </w:r>
            <w:r>
              <w:rPr>
                <w:spacing w:val="-3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το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β’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τρίμηνο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2025,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€4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εκατ.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γ’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τρίμηνο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2025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€2,4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εκατ.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δ’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τρίμηνο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2025.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9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left="251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582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7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25</w:t>
            </w:r>
          </w:p>
        </w:tc>
        <w:tc>
          <w:tcPr>
            <w:tcW w:w="1557" w:type="dxa"/>
          </w:tcPr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z w:val="12"/>
              </w:rPr>
              <w:t>Καθαρό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Επιτοκιακό </w:t>
            </w:r>
            <w:r>
              <w:rPr>
                <w:spacing w:val="-4"/>
                <w:sz w:val="12"/>
              </w:rPr>
              <w:t>Περιθώριο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ή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Καθαρό</w:t>
            </w:r>
          </w:p>
          <w:p>
            <w:pPr>
              <w:pStyle w:val="TableParagraph"/>
              <w:spacing w:line="146" w:lineRule="exact"/>
              <w:ind w:left="141" w:right="275"/>
              <w:rPr>
                <w:sz w:val="12"/>
              </w:rPr>
            </w:pPr>
            <w:r>
              <w:rPr>
                <w:spacing w:val="-4"/>
                <w:sz w:val="12"/>
              </w:rPr>
              <w:t>Έσοδο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Τόκων/Μέσο</w:t>
            </w:r>
            <w:r>
              <w:rPr>
                <w:sz w:val="12"/>
              </w:rPr>
              <w:t> Ενεργητικό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(NΙM)</w:t>
            </w:r>
          </w:p>
        </w:tc>
        <w:tc>
          <w:tcPr>
            <w:tcW w:w="5955" w:type="dxa"/>
          </w:tcPr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 λόγος του Καθαρού εσόδου τόκων της περιόδου (24) (ετησιοποιημένο), όπως ορίζεται στην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Ενοποιημένη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Κατάσταση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Αποτελεσμάτων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δημοσίευσης,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μέσο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υπόλοιπο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του</w:t>
            </w:r>
          </w:p>
          <w:p>
            <w:pPr>
              <w:pStyle w:val="TableParagraph"/>
              <w:spacing w:line="146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"Συνόλου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Ενεργητικού"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(59)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αντίστοιχης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περιόδου.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μέσο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υπόλοιπο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ορίζεται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ως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αριθμητικός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μέσος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όρος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υπολοίπου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τέλος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τέλος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προηγούμενης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left="251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40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26</w:t>
            </w:r>
          </w:p>
        </w:tc>
        <w:tc>
          <w:tcPr>
            <w:tcW w:w="1557" w:type="dxa"/>
          </w:tcPr>
          <w:p>
            <w:pPr>
              <w:pStyle w:val="TableParagraph"/>
              <w:spacing w:line="237" w:lineRule="auto"/>
              <w:ind w:left="141" w:right="477"/>
              <w:rPr>
                <w:sz w:val="12"/>
              </w:rPr>
            </w:pPr>
            <w:r>
              <w:rPr>
                <w:spacing w:val="-4"/>
                <w:sz w:val="12"/>
              </w:rPr>
              <w:t>Δάνεια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μετά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Συσσωρευμένες</w:t>
            </w:r>
          </w:p>
          <w:p>
            <w:pPr>
              <w:pStyle w:val="TableParagraph"/>
              <w:spacing w:line="129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προβλέψεις</w:t>
            </w:r>
          </w:p>
        </w:tc>
        <w:tc>
          <w:tcPr>
            <w:tcW w:w="5955" w:type="dxa"/>
          </w:tcPr>
          <w:p>
            <w:pPr>
              <w:pStyle w:val="TableParagraph"/>
              <w:spacing w:before="68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«Δάνεια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απαιτήσεις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κατά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πελατών»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δημοσιεύεται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στον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Ενοποιημένο Ισολογισμό της περιόδου 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0"/>
              <w:ind w:right="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582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7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27</w:t>
            </w:r>
          </w:p>
        </w:tc>
        <w:tc>
          <w:tcPr>
            <w:tcW w:w="1557" w:type="dxa"/>
          </w:tcPr>
          <w:p>
            <w:pPr>
              <w:pStyle w:val="TableParagraph"/>
              <w:spacing w:before="68"/>
              <w:ind w:left="141"/>
              <w:rPr>
                <w:sz w:val="12"/>
              </w:rPr>
            </w:pPr>
            <w:r>
              <w:rPr>
                <w:sz w:val="12"/>
              </w:rPr>
              <w:t>Κάλυψη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Μη </w:t>
            </w:r>
            <w:r>
              <w:rPr>
                <w:spacing w:val="-2"/>
                <w:w w:val="90"/>
                <w:sz w:val="12"/>
              </w:rPr>
              <w:t>Εξυπηρετούμενων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Ανοιγμάτων</w:t>
            </w:r>
          </w:p>
        </w:tc>
        <w:tc>
          <w:tcPr>
            <w:tcW w:w="5955" w:type="dxa"/>
          </w:tcPr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spacing w:val="-6"/>
                <w:sz w:val="12"/>
              </w:rPr>
              <w:t>Ο λόγος των Συσσωρευμένων προβλέψεων και προσαρμογώνς στην εύλογη αξία (1) συν των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μειώσεων στα κεφάλαια κοινών μετοχών κατηγορίας 1 ως αποτέλεσμα της εφαρμογής των</w:t>
            </w:r>
          </w:p>
          <w:p>
            <w:pPr>
              <w:pStyle w:val="TableParagraph"/>
              <w:spacing w:line="146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απαιτήσεων σχηματισμού προβλέψεων για την κάλυψη μη εξυπηρετούμενων δανείων (calendar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provisioning),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προς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υπόλοιπο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MEA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(30)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τέλος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40"/>
              <w:ind w:left="508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40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28</w:t>
            </w:r>
          </w:p>
        </w:tc>
        <w:tc>
          <w:tcPr>
            <w:tcW w:w="1557" w:type="dxa"/>
          </w:tcPr>
          <w:p>
            <w:pPr>
              <w:pStyle w:val="TableParagraph"/>
              <w:spacing w:line="237" w:lineRule="auto"/>
              <w:ind w:left="141"/>
              <w:rPr>
                <w:sz w:val="12"/>
              </w:rPr>
            </w:pPr>
            <w:r>
              <w:rPr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Μη </w:t>
            </w:r>
            <w:r>
              <w:rPr>
                <w:spacing w:val="-2"/>
                <w:w w:val="90"/>
                <w:sz w:val="12"/>
              </w:rPr>
              <w:t>Εξυπηρετούμενων</w:t>
            </w:r>
          </w:p>
          <w:p>
            <w:pPr>
              <w:pStyle w:val="TableParagraph"/>
              <w:spacing w:line="129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Ανοιγμάτων</w:t>
            </w:r>
          </w:p>
        </w:tc>
        <w:tc>
          <w:tcPr>
            <w:tcW w:w="5955" w:type="dxa"/>
          </w:tcPr>
          <w:p>
            <w:pPr>
              <w:pStyle w:val="TableParagraph"/>
              <w:spacing w:before="68"/>
              <w:ind w:left="156" w:right="214"/>
              <w:rPr>
                <w:sz w:val="12"/>
              </w:rPr>
            </w:pPr>
            <w:r>
              <w:rPr>
                <w:spacing w:val="-6"/>
                <w:sz w:val="12"/>
              </w:rPr>
              <w:t>Ο λόγος του συνόλου των «Μη Εξυπηρετούμενων Ανοιγμάτων» (30) προς το υπόλοιπο των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χορηγήσεων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(13)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τέλος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8"/>
              <w:ind w:left="508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725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4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29</w:t>
            </w:r>
          </w:p>
        </w:tc>
        <w:tc>
          <w:tcPr>
            <w:tcW w:w="1557" w:type="dxa"/>
          </w:tcPr>
          <w:p>
            <w:pPr>
              <w:pStyle w:val="TableParagraph"/>
              <w:spacing w:before="140"/>
              <w:ind w:left="141"/>
              <w:rPr>
                <w:sz w:val="12"/>
              </w:rPr>
            </w:pPr>
            <w:r>
              <w:rPr>
                <w:spacing w:val="-6"/>
                <w:sz w:val="12"/>
              </w:rPr>
              <w:t>Συνολική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6"/>
                <w:sz w:val="12"/>
              </w:rPr>
              <w:t>Κάλυψη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6"/>
                <w:sz w:val="12"/>
              </w:rPr>
              <w:t>Μη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Εξυπηρετούμενων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Ανοιγμάτων</w:t>
            </w:r>
          </w:p>
        </w:tc>
        <w:tc>
          <w:tcPr>
            <w:tcW w:w="5955" w:type="dxa"/>
          </w:tcPr>
          <w:p>
            <w:pPr>
              <w:pStyle w:val="TableParagraph"/>
              <w:ind w:left="156" w:right="140"/>
              <w:rPr>
                <w:sz w:val="12"/>
              </w:rPr>
            </w:pPr>
            <w:r>
              <w:rPr>
                <w:spacing w:val="-6"/>
                <w:sz w:val="12"/>
              </w:rPr>
              <w:t>Ο λόγος των Συσσωρευμένων προβλέψεων και προσαρμογών στην εύλογη αξία (1) συν την αξία των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περιουσιακών στοιχείων που παραχωρούνται για εξασφάλιση των πιστοδοτήσεων, συν τις μειώσεις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στα κεφάλαια κοινών µετοχών κατηγορίας 1 ως αποτέλεσμα της εφαρμογής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των απαιτήσεων</w:t>
            </w:r>
          </w:p>
          <w:p>
            <w:pPr>
              <w:pStyle w:val="TableParagraph"/>
              <w:spacing w:line="146" w:lineRule="exact"/>
              <w:ind w:left="156" w:right="214"/>
              <w:rPr>
                <w:sz w:val="12"/>
              </w:rPr>
            </w:pPr>
            <w:r>
              <w:rPr>
                <w:spacing w:val="-6"/>
                <w:sz w:val="12"/>
              </w:rPr>
              <w:t>σχηματισμού προβλέψεων για την κάλυψη μη εξυπηρετούμενων δανείων (calendar provisioning),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προς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υπόλοιπο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των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MEA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(30)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στο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τέλος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left="508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1300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36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30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4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41" w:right="247"/>
              <w:rPr>
                <w:sz w:val="12"/>
              </w:rPr>
            </w:pPr>
            <w:r>
              <w:rPr>
                <w:spacing w:val="-4"/>
                <w:sz w:val="12"/>
              </w:rPr>
              <w:t>Μη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Εξυπηρετούμενα</w:t>
            </w:r>
            <w:r>
              <w:rPr>
                <w:sz w:val="12"/>
              </w:rPr>
              <w:t> Ανοίγματα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(MEA)</w:t>
            </w:r>
          </w:p>
        </w:tc>
        <w:tc>
          <w:tcPr>
            <w:tcW w:w="5955" w:type="dxa"/>
          </w:tcPr>
          <w:p>
            <w:pPr>
              <w:pStyle w:val="TableParagraph"/>
              <w:spacing w:line="136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Mη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Εξυπηρετούμενα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Ανοίγματα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(30),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με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βάση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τα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"ITS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on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forbearance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and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Non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Performing</w:t>
            </w:r>
          </w:p>
          <w:p>
            <w:pPr>
              <w:pStyle w:val="TableParagraph"/>
              <w:spacing w:line="145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Exposures"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Ευρωπαϊκής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Αρχής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Τραπεζών,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είναι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εκείνα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πληρούν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οποιοδήποτε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5"/>
                <w:sz w:val="12"/>
              </w:rPr>
              <w:t>τα</w:t>
            </w:r>
          </w:p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6"/>
                <w:sz w:val="12"/>
              </w:rPr>
              <w:t>ακόλουθα κριτήρια: α) Ανοίγματα που έχουν άνω των 90 ημερών καθυστέρηση, β) Θεωρείται ότι ο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οφειλέτης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δεν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είναι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πιθανό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να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εκπληρώσει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πλήρως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πιστωτικές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υποχρεώσεις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χωρίς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</w:t>
            </w:r>
          </w:p>
          <w:p>
            <w:pPr>
              <w:pStyle w:val="TableParagraph"/>
              <w:spacing w:line="144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ρευστοποίηση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εξασφαλίσεων,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ανεξάρτητα</w:t>
            </w:r>
            <w:r>
              <w:rPr>
                <w:spacing w:val="9"/>
                <w:sz w:val="12"/>
              </w:rPr>
              <w:t> </w:t>
            </w:r>
            <w:r>
              <w:rPr>
                <w:w w:val="90"/>
                <w:sz w:val="12"/>
              </w:rPr>
              <w:t>από</w:t>
            </w:r>
            <w:r>
              <w:rPr>
                <w:spacing w:val="10"/>
                <w:sz w:val="12"/>
              </w:rPr>
              <w:t> </w:t>
            </w:r>
            <w:r>
              <w:rPr>
                <w:w w:val="90"/>
                <w:sz w:val="12"/>
              </w:rPr>
              <w:t>την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ύπαρξη</w:t>
            </w:r>
            <w:r>
              <w:rPr>
                <w:spacing w:val="10"/>
                <w:sz w:val="12"/>
              </w:rPr>
              <w:t> </w:t>
            </w:r>
            <w:r>
              <w:rPr>
                <w:w w:val="90"/>
                <w:sz w:val="12"/>
              </w:rPr>
              <w:t>οποιουδήποτε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καθυστερούμενου</w:t>
            </w:r>
          </w:p>
          <w:p>
            <w:pPr>
              <w:pStyle w:val="TableParagraph"/>
              <w:ind w:left="156" w:right="203"/>
              <w:rPr>
                <w:sz w:val="12"/>
              </w:rPr>
            </w:pPr>
            <w:r>
              <w:rPr>
                <w:spacing w:val="-4"/>
                <w:sz w:val="12"/>
              </w:rPr>
              <w:t>ποσού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τον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αριθμό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ημερών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καθυστέρησης.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NPEs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β΄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Τριμήνου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2026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εξαιρούν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€308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εκατ.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ενήμερων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στεγαστικών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δανείων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(με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καθυστέρηση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κάτω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30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ημερών),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τα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οποία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έχουν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ταξινομηθεί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Στάδιο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3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κατόπιν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αναδιάρθρωσης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(reprofiling)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ξεκίνησε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Τράπεζα.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(€219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εκατ.</w:t>
            </w:r>
          </w:p>
          <w:p>
            <w:pPr>
              <w:pStyle w:val="TableParagraph"/>
              <w:spacing w:line="129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το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α’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τρίμηνο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2026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και</w:t>
            </w:r>
            <w:r>
              <w:rPr>
                <w:spacing w:val="-3"/>
                <w:sz w:val="12"/>
              </w:rPr>
              <w:t> </w:t>
            </w:r>
            <w:r>
              <w:rPr>
                <w:w w:val="90"/>
                <w:sz w:val="12"/>
              </w:rPr>
              <w:t>€70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εκατ.</w:t>
            </w:r>
            <w:r>
              <w:rPr>
                <w:spacing w:val="-1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το</w:t>
            </w:r>
            <w:r>
              <w:rPr>
                <w:spacing w:val="-4"/>
                <w:sz w:val="12"/>
              </w:rPr>
              <w:t> </w:t>
            </w:r>
            <w:r>
              <w:rPr>
                <w:w w:val="90"/>
                <w:sz w:val="12"/>
              </w:rPr>
              <w:t>δ’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τρίμηνο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4"/>
                <w:w w:val="90"/>
                <w:sz w:val="12"/>
              </w:rPr>
              <w:t>2025)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4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508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719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31</w:t>
            </w:r>
          </w:p>
        </w:tc>
        <w:tc>
          <w:tcPr>
            <w:tcW w:w="1557" w:type="dxa"/>
          </w:tcPr>
          <w:p>
            <w:pPr>
              <w:pStyle w:val="TableParagraph"/>
              <w:spacing w:line="237" w:lineRule="auto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Κάλυψης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Μη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Εξυπηρετούμενων</w:t>
            </w:r>
            <w:r>
              <w:rPr>
                <w:sz w:val="12"/>
              </w:rPr>
              <w:t> Ανοιγμάτων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από</w:t>
            </w:r>
          </w:p>
          <w:p>
            <w:pPr>
              <w:pStyle w:val="TableParagraph"/>
              <w:spacing w:line="144" w:lineRule="exact"/>
              <w:ind w:left="141" w:right="657"/>
              <w:rPr>
                <w:sz w:val="12"/>
              </w:rPr>
            </w:pPr>
            <w:r>
              <w:rPr>
                <w:spacing w:val="-2"/>
                <w:sz w:val="12"/>
              </w:rPr>
              <w:t>ενσώματες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εξασφαλίσεις</w:t>
            </w:r>
          </w:p>
        </w:tc>
        <w:tc>
          <w:tcPr>
            <w:tcW w:w="5955" w:type="dxa"/>
          </w:tcPr>
          <w:p>
            <w:pPr>
              <w:pStyle w:val="TableParagraph"/>
              <w:spacing w:before="65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Ο λόγος της «Συνολικής αξίας εξασφαλίσεων» που λαμβάνονται για τα Μη Εξυπηρετούμενα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Ανοίγματα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σύνολο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Μη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Εξυπηρετούμενων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Ανοιγμάτων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(30)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ημερομηνία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5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508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578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6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32</w:t>
            </w:r>
          </w:p>
        </w:tc>
        <w:tc>
          <w:tcPr>
            <w:tcW w:w="1557" w:type="dxa"/>
          </w:tcPr>
          <w:p>
            <w:pPr>
              <w:pStyle w:val="TableParagraph"/>
              <w:spacing w:line="139" w:lineRule="exact"/>
              <w:ind w:left="141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sz w:val="12"/>
              </w:rPr>
              <w:t>Κάλυψης</w:t>
            </w:r>
          </w:p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pacing w:val="-6"/>
                <w:sz w:val="12"/>
              </w:rPr>
              <w:t>Καθυστερήσεων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6"/>
                <w:sz w:val="12"/>
              </w:rPr>
              <w:t>από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ενσώματες</w:t>
            </w:r>
          </w:p>
          <w:p>
            <w:pPr>
              <w:pStyle w:val="TableParagraph"/>
              <w:spacing w:line="128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εξασφαλίσεις</w:t>
            </w:r>
          </w:p>
        </w:tc>
        <w:tc>
          <w:tcPr>
            <w:tcW w:w="5955" w:type="dxa"/>
          </w:tcPr>
          <w:p>
            <w:pPr>
              <w:pStyle w:val="TableParagraph"/>
              <w:spacing w:before="139"/>
              <w:ind w:left="156" w:right="214"/>
              <w:rPr>
                <w:sz w:val="12"/>
              </w:rPr>
            </w:pPr>
            <w:r>
              <w:rPr>
                <w:spacing w:val="-6"/>
                <w:sz w:val="12"/>
              </w:rPr>
              <w:t>Ο λόγος της «Συνολικής αξίας εξασφαλίσεων» που λαμβάνονται για τα Δάνεια σε Καθυστέρηση (30)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προς το σύνολο των Δανείων σε Καθυστέρηση (36)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την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ημερομηνία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9"/>
              <w:ind w:left="508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575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5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33</w:t>
            </w:r>
          </w:p>
        </w:tc>
        <w:tc>
          <w:tcPr>
            <w:tcW w:w="1557" w:type="dxa"/>
          </w:tcPr>
          <w:p>
            <w:pPr>
              <w:pStyle w:val="TableParagraph"/>
              <w:spacing w:before="138"/>
              <w:ind w:left="141"/>
              <w:rPr>
                <w:sz w:val="12"/>
              </w:rPr>
            </w:pPr>
            <w:r>
              <w:rPr>
                <w:spacing w:val="-6"/>
                <w:sz w:val="12"/>
              </w:rPr>
              <w:t>Δείκτης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6"/>
                <w:sz w:val="12"/>
              </w:rPr>
              <w:t>Κάλυψης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Καθυστερήσεων</w:t>
            </w:r>
          </w:p>
        </w:tc>
        <w:tc>
          <w:tcPr>
            <w:tcW w:w="5955" w:type="dxa"/>
          </w:tcPr>
          <w:p>
            <w:pPr>
              <w:pStyle w:val="TableParagraph"/>
              <w:spacing w:line="237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λόγος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«Συσσωρευμένων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προβλέψεων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προσαρμογών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εύλογης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αξίας»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(1)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συν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μειώσεις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κεφάλαια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κοινών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µετοχών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κατηγορίας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1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ως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αποτέλεσμα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εφαρμογής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απαιτήσεων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σχηματισμού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προβλέψεων για την κάλυψη μη εξυπηρετούμενων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δανείων (calendar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provisioning), προς το σύνολο</w:t>
            </w:r>
          </w:p>
          <w:p>
            <w:pPr>
              <w:pStyle w:val="TableParagraph"/>
              <w:spacing w:line="127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των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Δανείων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σε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Καθυστέρηση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(36)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στο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τέλος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της</w:t>
            </w:r>
            <w:r>
              <w:rPr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περιόδου.</w:t>
            </w:r>
          </w:p>
        </w:tc>
        <w:tc>
          <w:tcPr>
            <w:tcW w:w="1701" w:type="dxa"/>
          </w:tcPr>
          <w:p>
            <w:pPr>
              <w:pStyle w:val="TableParagraph"/>
              <w:spacing w:line="244" w:lineRule="auto" w:before="136"/>
              <w:ind w:left="508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297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71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34</w:t>
            </w:r>
          </w:p>
        </w:tc>
        <w:tc>
          <w:tcPr>
            <w:tcW w:w="1557" w:type="dxa"/>
          </w:tcPr>
          <w:p>
            <w:pPr>
              <w:pStyle w:val="TableParagraph"/>
              <w:spacing w:line="144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Δείκτης</w:t>
            </w:r>
          </w:p>
          <w:p>
            <w:pPr>
              <w:pStyle w:val="TableParagraph"/>
              <w:spacing w:line="133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Καθυστερήσεων</w:t>
            </w:r>
          </w:p>
        </w:tc>
        <w:tc>
          <w:tcPr>
            <w:tcW w:w="5955" w:type="dxa"/>
          </w:tcPr>
          <w:p>
            <w:pPr>
              <w:pStyle w:val="TableParagraph"/>
              <w:spacing w:line="144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Ο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λόγος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του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συνόλου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Δανείων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σε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Καθυστέρηση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(36)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προς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το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υπόλοιπο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συνολικών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χορηγήσεων</w:t>
            </w:r>
          </w:p>
          <w:p>
            <w:pPr>
              <w:pStyle w:val="TableParagraph"/>
              <w:spacing w:line="133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(12)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στο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τέλος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της</w:t>
            </w:r>
            <w:r>
              <w:rPr>
                <w:spacing w:val="-3"/>
                <w:sz w:val="12"/>
              </w:rPr>
              <w:t> </w:t>
            </w:r>
            <w:r>
              <w:rPr>
                <w:w w:val="90"/>
                <w:sz w:val="12"/>
              </w:rPr>
              <w:t>περιόδου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line="143" w:lineRule="exact"/>
              <w:ind w:left="5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sz w:val="12"/>
              </w:rPr>
              <w:t>ποιότητας</w:t>
            </w:r>
          </w:p>
          <w:p>
            <w:pPr>
              <w:pStyle w:val="TableParagraph"/>
              <w:spacing w:line="132" w:lineRule="exact" w:before="3"/>
              <w:ind w:lef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1007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36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35</w:t>
            </w:r>
          </w:p>
        </w:tc>
        <w:tc>
          <w:tcPr>
            <w:tcW w:w="1557" w:type="dxa"/>
          </w:tcPr>
          <w:p>
            <w:pPr>
              <w:pStyle w:val="TableParagraph"/>
              <w:spacing w:before="13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41" w:right="363"/>
              <w:rPr>
                <w:sz w:val="12"/>
              </w:rPr>
            </w:pPr>
            <w:r>
              <w:rPr>
                <w:spacing w:val="-4"/>
                <w:sz w:val="12"/>
              </w:rPr>
              <w:t>Συνολικός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Δείκτης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Κάλυψης</w:t>
            </w:r>
          </w:p>
          <w:p>
            <w:pPr>
              <w:pStyle w:val="TableParagraph"/>
              <w:spacing w:line="142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Καθυστερήσεων</w:t>
            </w:r>
          </w:p>
        </w:tc>
        <w:tc>
          <w:tcPr>
            <w:tcW w:w="5955" w:type="dxa"/>
          </w:tcPr>
          <w:p>
            <w:pPr>
              <w:pStyle w:val="TableParagraph"/>
              <w:spacing w:line="237" w:lineRule="auto"/>
              <w:ind w:left="156" w:right="87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λόγος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Συσσωρευμένων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προβλέψεων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προσαρμογών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εύλογης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αξίας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(1)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συν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συνολική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αξία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των εξασφαλίσεων για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τα δάνεια σε Καθυστέρηση συν τις μειώσεις στα κεφάλαια κοινών µετοχών</w:t>
            </w:r>
          </w:p>
          <w:p>
            <w:pPr>
              <w:pStyle w:val="TableParagraph"/>
              <w:spacing w:line="144" w:lineRule="exact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κατηγορίας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1 ως αποτέλεσμα της εφαρμογής των απαιτήσεων σχηματισμού προβλέψεων για την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κάλυψη μη εξυπηρετούμενων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δανείων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(calendar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provisioning),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προς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το υπόλοιπο των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Δανείων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σε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Καθυστέρηση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τέλος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αναφοράς.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Αυτό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ισούται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με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άθροισμα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δείκτη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κάλυψης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των Δανείων σε Καθυστέρηση και τον δείκτη κάλυψης Δανείων σε Καθυστέρηση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με ενσώματες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εξασφαλίσεις.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line="244" w:lineRule="auto"/>
              <w:ind w:left="508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423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4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36</w:t>
            </w:r>
          </w:p>
        </w:tc>
        <w:tc>
          <w:tcPr>
            <w:tcW w:w="1557" w:type="dxa"/>
          </w:tcPr>
          <w:p>
            <w:pPr>
              <w:pStyle w:val="TableParagraph"/>
              <w:spacing w:before="62"/>
              <w:ind w:left="141"/>
              <w:rPr>
                <w:sz w:val="12"/>
              </w:rPr>
            </w:pPr>
            <w:r>
              <w:rPr>
                <w:spacing w:val="-5"/>
                <w:sz w:val="12"/>
              </w:rPr>
              <w:t>Δάνεια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σε</w:t>
            </w:r>
          </w:p>
          <w:p>
            <w:pPr>
              <w:pStyle w:val="TableParagraph"/>
              <w:spacing w:before="1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Καθυστέρηση</w:t>
            </w:r>
          </w:p>
        </w:tc>
        <w:tc>
          <w:tcPr>
            <w:tcW w:w="5955" w:type="dxa"/>
          </w:tcPr>
          <w:p>
            <w:pPr>
              <w:pStyle w:val="TableParagraph"/>
              <w:spacing w:before="134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Τα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Δάνεια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σε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Καθυστέρηση</w:t>
            </w:r>
            <w:r>
              <w:rPr>
                <w:spacing w:val="-4"/>
                <w:sz w:val="12"/>
              </w:rPr>
              <w:t> </w:t>
            </w:r>
            <w:r>
              <w:rPr>
                <w:w w:val="90"/>
                <w:sz w:val="12"/>
              </w:rPr>
              <w:t>(36)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είναι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τα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Δάνεια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(13)</w:t>
            </w:r>
            <w:r>
              <w:rPr>
                <w:spacing w:val="-4"/>
                <w:sz w:val="12"/>
              </w:rPr>
              <w:t> </w:t>
            </w:r>
            <w:r>
              <w:rPr>
                <w:w w:val="90"/>
                <w:sz w:val="12"/>
              </w:rPr>
              <w:t>που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είναι</w:t>
            </w:r>
            <w:r>
              <w:rPr>
                <w:spacing w:val="-1"/>
                <w:sz w:val="12"/>
              </w:rPr>
              <w:t> </w:t>
            </w:r>
            <w:r>
              <w:rPr>
                <w:w w:val="90"/>
                <w:sz w:val="12"/>
              </w:rPr>
              <w:t>σε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καθυστέρηση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άνω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90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ημερών.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2"/>
              <w:ind w:left="508" w:hanging="17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ποιότητας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</w:tr>
      <w:tr>
        <w:trPr>
          <w:trHeight w:val="2320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37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8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41" w:right="458"/>
              <w:rPr>
                <w:sz w:val="12"/>
              </w:rPr>
            </w:pPr>
            <w:r>
              <w:rPr>
                <w:spacing w:val="-4"/>
                <w:sz w:val="12"/>
              </w:rPr>
              <w:t>Προσαρμοσμένα</w:t>
            </w:r>
            <w:r>
              <w:rPr>
                <w:sz w:val="12"/>
              </w:rPr>
              <w:t> Κέρδη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μετά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από </w:t>
            </w:r>
            <w:r>
              <w:rPr>
                <w:spacing w:val="-2"/>
                <w:sz w:val="12"/>
              </w:rPr>
              <w:t>Φόρους</w:t>
            </w:r>
          </w:p>
        </w:tc>
        <w:tc>
          <w:tcPr>
            <w:tcW w:w="5955" w:type="dxa"/>
          </w:tcPr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Τα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κύρια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κονδύλια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εσόδων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εξόδων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εξαιρούνται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τον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υπολογισμό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προσαρμοσμένου</w:t>
            </w:r>
            <w:r>
              <w:rPr>
                <w:sz w:val="12"/>
              </w:rPr>
              <w:t> κέρδους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αναφέρονται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παρακάτω.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9" w:val="left" w:leader="none"/>
              </w:tabs>
              <w:spacing w:line="145" w:lineRule="exact" w:before="0" w:after="0"/>
              <w:ind w:left="289" w:right="0" w:hanging="133"/>
              <w:jc w:val="left"/>
              <w:rPr>
                <w:sz w:val="12"/>
              </w:rPr>
            </w:pPr>
            <w:r>
              <w:rPr>
                <w:spacing w:val="-4"/>
                <w:sz w:val="12"/>
              </w:rPr>
              <w:t>Μετασχηματισμός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4"/>
                <w:sz w:val="12"/>
              </w:rPr>
              <w:t>σχετιζόμενος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5"/>
                <w:sz w:val="12"/>
              </w:rPr>
              <w:t>με:</w:t>
            </w:r>
          </w:p>
          <w:p>
            <w:pPr>
              <w:pStyle w:val="TableParagraph"/>
              <w:spacing w:line="145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α.</w:t>
            </w:r>
            <w:r>
              <w:rPr>
                <w:spacing w:val="9"/>
                <w:sz w:val="12"/>
              </w:rPr>
              <w:t> </w:t>
            </w:r>
            <w:r>
              <w:rPr>
                <w:w w:val="90"/>
                <w:sz w:val="12"/>
              </w:rPr>
              <w:t>Κόστος</w:t>
            </w:r>
            <w:r>
              <w:rPr>
                <w:spacing w:val="9"/>
                <w:sz w:val="12"/>
              </w:rPr>
              <w:t> </w:t>
            </w:r>
            <w:r>
              <w:rPr>
                <w:w w:val="90"/>
                <w:sz w:val="12"/>
              </w:rPr>
              <w:t>Μετασχηματισμού</w:t>
            </w:r>
            <w:r>
              <w:rPr>
                <w:spacing w:val="9"/>
                <w:sz w:val="12"/>
              </w:rPr>
              <w:t> </w:t>
            </w:r>
            <w:r>
              <w:rPr>
                <w:w w:val="90"/>
                <w:sz w:val="12"/>
              </w:rPr>
              <w:t>και</w:t>
            </w:r>
            <w:r>
              <w:rPr>
                <w:spacing w:val="10"/>
                <w:sz w:val="12"/>
              </w:rPr>
              <w:t> </w:t>
            </w:r>
            <w:r>
              <w:rPr>
                <w:w w:val="90"/>
                <w:sz w:val="12"/>
              </w:rPr>
              <w:t>συναφή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Έξοδα,</w:t>
            </w:r>
          </w:p>
          <w:p>
            <w:pPr>
              <w:pStyle w:val="TableParagraph"/>
              <w:spacing w:line="145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β.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Έξοδα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και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κέρδη/ζημίες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λόγω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εκποίησης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μη</w:t>
            </w:r>
            <w:r>
              <w:rPr>
                <w:spacing w:val="10"/>
                <w:sz w:val="12"/>
              </w:rPr>
              <w:t> </w:t>
            </w:r>
            <w:r>
              <w:rPr>
                <w:w w:val="90"/>
                <w:sz w:val="12"/>
              </w:rPr>
              <w:t>βασικών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περιουσιακών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στοιχείων,</w:t>
            </w:r>
          </w:p>
          <w:p>
            <w:pPr>
              <w:pStyle w:val="TableParagraph"/>
              <w:spacing w:line="145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γ.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Έξοδα/Κέρδη/Ζημίες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ως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αποτέλεσμα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συναλλαγών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πώλησης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χαρτοφυλακίων</w:t>
            </w:r>
            <w:r>
              <w:rPr>
                <w:spacing w:val="7"/>
                <w:sz w:val="12"/>
              </w:rPr>
              <w:t> </w:t>
            </w:r>
            <w:r>
              <w:rPr>
                <w:spacing w:val="-5"/>
                <w:w w:val="90"/>
                <w:sz w:val="12"/>
              </w:rPr>
              <w:t>ΜΕΑ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9" w:val="left" w:leader="none"/>
              </w:tabs>
              <w:spacing w:line="144" w:lineRule="exact" w:before="0" w:after="0"/>
              <w:ind w:left="289" w:right="0" w:hanging="133"/>
              <w:jc w:val="left"/>
              <w:rPr>
                <w:sz w:val="12"/>
              </w:rPr>
            </w:pPr>
            <w:r>
              <w:rPr>
                <w:w w:val="90"/>
                <w:sz w:val="12"/>
              </w:rPr>
              <w:t>Άλλα</w:t>
            </w:r>
            <w:r>
              <w:rPr>
                <w:spacing w:val="13"/>
                <w:sz w:val="12"/>
              </w:rPr>
              <w:t> </w:t>
            </w:r>
            <w:r>
              <w:rPr>
                <w:w w:val="90"/>
                <w:sz w:val="12"/>
              </w:rPr>
              <w:t>μη</w:t>
            </w:r>
            <w:r>
              <w:rPr>
                <w:spacing w:val="14"/>
                <w:sz w:val="12"/>
              </w:rPr>
              <w:t> </w:t>
            </w:r>
            <w:r>
              <w:rPr>
                <w:w w:val="90"/>
                <w:sz w:val="12"/>
              </w:rPr>
              <w:t>επαναλαμβανόμενα</w:t>
            </w:r>
            <w:r>
              <w:rPr>
                <w:spacing w:val="14"/>
                <w:sz w:val="12"/>
              </w:rPr>
              <w:t> </w:t>
            </w:r>
            <w:r>
              <w:rPr>
                <w:w w:val="90"/>
                <w:sz w:val="12"/>
              </w:rPr>
              <w:t>σχετιζόμενα</w:t>
            </w:r>
            <w:r>
              <w:rPr>
                <w:spacing w:val="9"/>
                <w:sz w:val="12"/>
              </w:rPr>
              <w:t> </w:t>
            </w:r>
            <w:r>
              <w:rPr>
                <w:spacing w:val="-5"/>
                <w:w w:val="90"/>
                <w:sz w:val="12"/>
              </w:rPr>
              <w:t>με:</w:t>
            </w:r>
          </w:p>
          <w:p>
            <w:pPr>
              <w:pStyle w:val="TableParagraph"/>
              <w:ind w:left="156" w:right="2194"/>
              <w:rPr>
                <w:sz w:val="12"/>
              </w:rPr>
            </w:pPr>
            <w:r>
              <w:rPr>
                <w:w w:val="90"/>
                <w:sz w:val="12"/>
              </w:rPr>
              <w:t>α. Έξοδα/Ζημίες λόγω μη αναμενόμενου λειτουργικού κινδύνου,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β.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Έξοδα/Ζημίες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από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μη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αναμενόμενες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δικαστικές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διαφορές,</w:t>
            </w:r>
          </w:p>
          <w:p>
            <w:pPr>
              <w:pStyle w:val="TableParagraph"/>
              <w:ind w:left="156" w:right="140"/>
              <w:rPr>
                <w:sz w:val="12"/>
              </w:rPr>
            </w:pPr>
            <w:r>
              <w:rPr>
                <w:spacing w:val="-6"/>
                <w:sz w:val="12"/>
              </w:rPr>
              <w:t>γ. Έξοδα/Κέρδη/Ζημίες λόγω βραχυπρόθεσμης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επίπτωσης από μη αναμενόμενα και έκτακτα γεγονότα</w:t>
            </w:r>
            <w:r>
              <w:rPr>
                <w:sz w:val="12"/>
              </w:rPr>
              <w:t> με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σημαντικές</w:t>
            </w:r>
            <w:r>
              <w:rPr>
                <w:spacing w:val="-10"/>
                <w:sz w:val="12"/>
              </w:rPr>
              <w:t> </w:t>
            </w:r>
            <w:r>
              <w:rPr>
                <w:sz w:val="12"/>
              </w:rPr>
              <w:t>οικονομικές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επιπτώσεις,</w:t>
            </w:r>
          </w:p>
          <w:p>
            <w:pPr>
              <w:pStyle w:val="TableParagraph"/>
              <w:ind w:left="156" w:right="960"/>
              <w:rPr>
                <w:sz w:val="12"/>
              </w:rPr>
            </w:pPr>
            <w:r>
              <w:rPr>
                <w:spacing w:val="-4"/>
                <w:sz w:val="12"/>
              </w:rPr>
              <w:t>δ. Μη επαναλαμβανόμενα οφέλη/έξοδα που σχετίζονται με HR/Κοινωνική Ασφάλιση,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ε.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Έξοδα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απομείωσης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σχετίζονται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με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ιδιόκτητη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[και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απογραφή]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ακίνητη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περιουσία,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στ. Αρχική (εφάπαξ) επίπτωση από την υιοθέτηση νέων ή τροποποιημένων ΔΠΧΠ,</w:t>
            </w:r>
          </w:p>
          <w:p>
            <w:pPr>
              <w:pStyle w:val="TableParagraph"/>
              <w:spacing w:line="143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ζ.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Φορολογικά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εφάπαξ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έξοδα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κέρδη/ζημίες,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9" w:val="left" w:leader="none"/>
              </w:tabs>
              <w:spacing w:line="129" w:lineRule="exact" w:before="0" w:after="0"/>
              <w:ind w:left="289" w:right="0" w:hanging="133"/>
              <w:jc w:val="left"/>
              <w:rPr>
                <w:sz w:val="12"/>
              </w:rPr>
            </w:pPr>
            <w:r>
              <w:rPr>
                <w:spacing w:val="-4"/>
                <w:sz w:val="12"/>
              </w:rPr>
              <w:t>Φόροι εισοδήματος αναφορικά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με τις προαναφερθείσες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4"/>
                <w:sz w:val="12"/>
              </w:rPr>
              <w:t>συναλλαγές.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7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51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580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38</w:t>
            </w:r>
          </w:p>
        </w:tc>
        <w:tc>
          <w:tcPr>
            <w:tcW w:w="1557" w:type="dxa"/>
          </w:tcPr>
          <w:p>
            <w:pPr>
              <w:pStyle w:val="TableParagraph"/>
              <w:spacing w:before="6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left="141"/>
              <w:rPr>
                <w:sz w:val="12"/>
              </w:rPr>
            </w:pPr>
            <w:r>
              <w:rPr>
                <w:w w:val="90"/>
                <w:sz w:val="12"/>
              </w:rPr>
              <w:t>Λειτουργικά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Έσοδα</w:t>
            </w:r>
          </w:p>
        </w:tc>
        <w:tc>
          <w:tcPr>
            <w:tcW w:w="5955" w:type="dxa"/>
          </w:tcPr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άθροισμα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των: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"Καθαρό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έσοδο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τόκους"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(24),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"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Έσοδα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αμοιβές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υπηρεσιών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”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(11),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"Έσοδα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χρηματοοικονοµικών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πράξεων"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(20)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"Λοιπά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έσοδα"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(39),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αυτά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ορίζονται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στην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Ενοποιημένη Κατάσταση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Αποτελεσμάτων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δημοσίευσης,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λαμβανομένων</w:t>
            </w:r>
          </w:p>
          <w:p>
            <w:pPr>
              <w:pStyle w:val="TableParagraph"/>
              <w:spacing w:line="129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υπόψη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τυχόν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αναμορφώσεων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στα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εν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λόγω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κονδύλια.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right="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467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39</w:t>
            </w:r>
          </w:p>
        </w:tc>
        <w:tc>
          <w:tcPr>
            <w:tcW w:w="1557" w:type="dxa"/>
          </w:tcPr>
          <w:p>
            <w:pPr>
              <w:pStyle w:val="TableParagraph"/>
              <w:spacing w:before="85"/>
              <w:ind w:left="141"/>
              <w:rPr>
                <w:sz w:val="12"/>
              </w:rPr>
            </w:pPr>
            <w:r>
              <w:rPr>
                <w:spacing w:val="-6"/>
                <w:sz w:val="12"/>
              </w:rPr>
              <w:t>Λοιπά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6"/>
                <w:sz w:val="12"/>
              </w:rPr>
              <w:t>(Λειτουργικά)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Έσοδα</w:t>
            </w:r>
          </w:p>
        </w:tc>
        <w:tc>
          <w:tcPr>
            <w:tcW w:w="5955" w:type="dxa"/>
          </w:tcPr>
          <w:p>
            <w:pPr>
              <w:pStyle w:val="TableParagraph"/>
              <w:spacing w:line="104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Ο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όρος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αυτός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αντιστοιχεί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στο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άθροισμα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των: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«Έσοδα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από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μερίσματα»,</w:t>
            </w:r>
            <w:r>
              <w:rPr>
                <w:spacing w:val="3"/>
                <w:sz w:val="12"/>
              </w:rPr>
              <w:t> </w:t>
            </w:r>
            <w:r>
              <w:rPr>
                <w:w w:val="90"/>
                <w:sz w:val="12"/>
              </w:rPr>
              <w:t>«Λοιπά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Έσοδα»,</w:t>
            </w:r>
          </w:p>
          <w:p>
            <w:pPr>
              <w:pStyle w:val="TableParagraph"/>
              <w:spacing w:line="189" w:lineRule="auto" w:before="11"/>
              <w:ind w:left="156"/>
              <w:rPr>
                <w:sz w:val="12"/>
              </w:rPr>
            </w:pPr>
            <w:r>
              <w:rPr>
                <w:spacing w:val="-2"/>
                <w:sz w:val="12"/>
              </w:rPr>
              <w:t>«Έσοδο/Έξοδο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από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ασφαλιστήρια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συμβόλαια»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«Χρηματοοικονομικά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έσοδα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έξοδα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από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ασφαλιστήρια συμβόλαια» όπως δημοσιεύονται στις Ενοποιημένες Οικονομικές Καταστάσεις την</w:t>
            </w:r>
          </w:p>
          <w:p>
            <w:pPr>
              <w:pStyle w:val="TableParagraph"/>
              <w:spacing w:line="101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περίοδο</w:t>
            </w:r>
            <w:r>
              <w:rPr>
                <w:spacing w:val="9"/>
                <w:sz w:val="12"/>
              </w:rPr>
              <w:t> </w:t>
            </w:r>
            <w:r>
              <w:rPr>
                <w:w w:val="90"/>
                <w:sz w:val="12"/>
              </w:rPr>
              <w:t>της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δημοσίευσης,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λαμβανομένων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υπόψη</w:t>
            </w:r>
            <w:r>
              <w:rPr>
                <w:spacing w:val="10"/>
                <w:sz w:val="12"/>
              </w:rPr>
              <w:t> </w:t>
            </w:r>
            <w:r>
              <w:rPr>
                <w:w w:val="90"/>
                <w:sz w:val="12"/>
              </w:rPr>
              <w:t>τυχόν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αναμορφώσεων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στα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εν</w:t>
            </w:r>
            <w:r>
              <w:rPr>
                <w:spacing w:val="9"/>
                <w:sz w:val="12"/>
              </w:rPr>
              <w:t> </w:t>
            </w:r>
            <w:r>
              <w:rPr>
                <w:w w:val="90"/>
                <w:sz w:val="12"/>
              </w:rPr>
              <w:t>λόγω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κονδύλια.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right="61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467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40</w:t>
            </w:r>
          </w:p>
        </w:tc>
        <w:tc>
          <w:tcPr>
            <w:tcW w:w="1557" w:type="dxa"/>
          </w:tcPr>
          <w:p>
            <w:pPr>
              <w:pStyle w:val="TableParagraph"/>
              <w:spacing w:before="85"/>
              <w:ind w:left="141" w:right="131"/>
              <w:rPr>
                <w:sz w:val="12"/>
              </w:rPr>
            </w:pPr>
            <w:r>
              <w:rPr>
                <w:spacing w:val="-2"/>
                <w:sz w:val="12"/>
              </w:rPr>
              <w:t>Λοιπές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Αναπροσαρμογές</w:t>
            </w:r>
          </w:p>
        </w:tc>
        <w:tc>
          <w:tcPr>
            <w:tcW w:w="5955" w:type="dxa"/>
          </w:tcPr>
          <w:p>
            <w:pPr>
              <w:pStyle w:val="TableParagraph"/>
              <w:spacing w:line="194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Περιλαμβάνουν αναπροσαρμογές της Διοίκησης για γεγονότα που συμβαίνουν με συγκεκριμένη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συχνότητα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και γεγονότα που επηρεάζονται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άμεσα από τις τρέχουσες συνθήκες της αγοράς ή/και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παρουσιάζουν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σημαντικές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διακυμάνσεις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μεταξύ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περιόδων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αναφοράς,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δεν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περιλαμβάνονται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σε</w:t>
            </w:r>
          </w:p>
          <w:p>
            <w:pPr>
              <w:pStyle w:val="TableParagraph"/>
              <w:spacing w:line="98" w:lineRule="exact"/>
              <w:ind w:left="156"/>
              <w:rPr>
                <w:sz w:val="12"/>
              </w:rPr>
            </w:pPr>
            <w:r>
              <w:rPr>
                <w:spacing w:val="-6"/>
                <w:sz w:val="12"/>
              </w:rPr>
              <w:t>άλλα</w:t>
            </w:r>
            <w:r>
              <w:rPr>
                <w:spacing w:val="5"/>
                <w:sz w:val="12"/>
              </w:rPr>
              <w:t> </w:t>
            </w:r>
            <w:r>
              <w:rPr>
                <w:spacing w:val="-6"/>
                <w:sz w:val="12"/>
              </w:rPr>
              <w:t>Κονδύλια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6"/>
                <w:sz w:val="12"/>
              </w:rPr>
              <w:t>στην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6"/>
                <w:sz w:val="12"/>
              </w:rPr>
              <w:t>Ενοποιημένη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6"/>
                <w:sz w:val="12"/>
              </w:rPr>
              <w:t>Κατάσταση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6"/>
                <w:sz w:val="12"/>
              </w:rPr>
              <w:t>Αποτελεσμάτων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6"/>
                <w:sz w:val="12"/>
              </w:rPr>
              <w:t>της</w:t>
            </w:r>
            <w:r>
              <w:rPr>
                <w:spacing w:val="6"/>
                <w:sz w:val="12"/>
              </w:rPr>
              <w:t> </w:t>
            </w:r>
            <w:r>
              <w:rPr>
                <w:spacing w:val="-6"/>
                <w:sz w:val="12"/>
              </w:rPr>
              <w:t>περιόδου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6"/>
                <w:sz w:val="12"/>
              </w:rPr>
              <w:t>δημοσίευσης.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305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33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41</w:t>
            </w:r>
          </w:p>
        </w:tc>
        <w:tc>
          <w:tcPr>
            <w:tcW w:w="1557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4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Λοιπά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Κονδύλια</w:t>
            </w:r>
          </w:p>
        </w:tc>
        <w:tc>
          <w:tcPr>
            <w:tcW w:w="5955" w:type="dxa"/>
          </w:tcPr>
          <w:p>
            <w:pPr>
              <w:pStyle w:val="TableParagraph"/>
              <w:spacing w:line="140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άθροισμα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Ζημιών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απομείωσης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παγίων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συμμετοχών,</w:t>
            </w:r>
          </w:p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w w:val="90"/>
                <w:sz w:val="12"/>
              </w:rPr>
              <w:t>Κερδών/(Ζημιών) από πώληση παγίων και συμμετοχών, Ζημιών απομείωσης, Προβλέψεων για την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κάλυψη του πιστωτικού κινδύνου από Χρηματοοικονομικές Πράξεις, Προβλέψεων και εξόδων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μετασχηματισμού καθώς και της Αναλογίας κερδών/ (ζηµιών) από συγγενείς εταιρίες και</w:t>
            </w:r>
          </w:p>
          <w:p>
            <w:pPr>
              <w:pStyle w:val="TableParagraph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κοινοπραξίες, όπως ορίζεται στις «Ενοποιημένες Οικονομικές Καταστάσεις» της περιόδου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δημοσίευσης,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λαμβανομένων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υπόψη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τυχόν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αναμορφώσεων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λόγω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κονδύλια,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αναπροσαρμογές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διοίκησης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στα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«Λοιπά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Κονδύλια»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δημοσίευσης.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Οι</w:t>
            </w:r>
          </w:p>
          <w:p>
            <w:pPr>
              <w:pStyle w:val="TableParagraph"/>
              <w:spacing w:line="146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αναπροσαρμογές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διοίκησης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«Λοιπά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Κονδύλια»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περιλαμβάνουν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γεγονότα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δεν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συμβαίνουν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με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συγκεκριμένη συχνότητα και γεγονότα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επηρεάζονται άμεσα από τις τρέχουσες συνθήκες της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4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</w:tbl>
    <w:p>
      <w:pPr>
        <w:pStyle w:val="TableParagraph"/>
        <w:spacing w:after="0"/>
        <w:jc w:val="right"/>
        <w:rPr>
          <w:sz w:val="12"/>
        </w:rPr>
        <w:sectPr>
          <w:type w:val="continuous"/>
          <w:pgSz w:w="11920" w:h="16850"/>
          <w:pgMar w:header="639" w:footer="648" w:top="1260" w:bottom="840" w:left="283" w:right="425"/>
        </w:sectPr>
      </w:pPr>
    </w:p>
    <w:tbl>
      <w:tblPr>
        <w:tblW w:w="0" w:type="auto"/>
        <w:jc w:val="left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"/>
        <w:gridCol w:w="1557"/>
        <w:gridCol w:w="5955"/>
        <w:gridCol w:w="1701"/>
      </w:tblGrid>
      <w:tr>
        <w:trPr>
          <w:trHeight w:val="424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55" w:type="dxa"/>
          </w:tcPr>
          <w:p>
            <w:pPr>
              <w:pStyle w:val="TableParagraph"/>
              <w:spacing w:line="140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αγοράς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ή/και</w:t>
            </w:r>
            <w:r>
              <w:rPr>
                <w:spacing w:val="11"/>
                <w:sz w:val="12"/>
              </w:rPr>
              <w:t> </w:t>
            </w:r>
            <w:r>
              <w:rPr>
                <w:w w:val="90"/>
                <w:sz w:val="12"/>
              </w:rPr>
              <w:t>παρουσιάζουν</w:t>
            </w:r>
            <w:r>
              <w:rPr>
                <w:spacing w:val="12"/>
                <w:sz w:val="12"/>
              </w:rPr>
              <w:t> </w:t>
            </w:r>
            <w:r>
              <w:rPr>
                <w:w w:val="90"/>
                <w:sz w:val="12"/>
              </w:rPr>
              <w:t>σημαντικές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διακυμάνσεις</w:t>
            </w:r>
            <w:r>
              <w:rPr>
                <w:spacing w:val="12"/>
                <w:sz w:val="12"/>
              </w:rPr>
              <w:t> </w:t>
            </w:r>
            <w:r>
              <w:rPr>
                <w:w w:val="90"/>
                <w:sz w:val="12"/>
              </w:rPr>
              <w:t>μεταξύ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11"/>
                <w:sz w:val="12"/>
              </w:rPr>
              <w:t> </w:t>
            </w:r>
            <w:r>
              <w:rPr>
                <w:w w:val="90"/>
                <w:sz w:val="12"/>
              </w:rPr>
              <w:t>περιόδων</w:t>
            </w:r>
            <w:r>
              <w:rPr>
                <w:spacing w:val="12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67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42</w:t>
            </w:r>
          </w:p>
        </w:tc>
        <w:tc>
          <w:tcPr>
            <w:tcW w:w="1557" w:type="dxa"/>
          </w:tcPr>
          <w:p>
            <w:pPr>
              <w:pStyle w:val="TableParagraph"/>
              <w:spacing w:line="145" w:lineRule="exact" w:before="11"/>
              <w:ind w:left="141"/>
              <w:rPr>
                <w:sz w:val="12"/>
              </w:rPr>
            </w:pPr>
            <w:r>
              <w:rPr>
                <w:spacing w:val="-5"/>
                <w:sz w:val="12"/>
              </w:rPr>
              <w:t>Αποτέλεσμα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5"/>
                <w:sz w:val="12"/>
              </w:rPr>
              <w:t>προ</w:t>
            </w:r>
          </w:p>
          <w:p>
            <w:pPr>
              <w:pStyle w:val="TableParagraph"/>
              <w:ind w:left="141"/>
              <w:rPr>
                <w:sz w:val="12"/>
              </w:rPr>
            </w:pPr>
            <w:r>
              <w:rPr>
                <w:spacing w:val="-2"/>
                <w:w w:val="90"/>
                <w:sz w:val="12"/>
              </w:rPr>
              <w:t>Προβλέψεων/Σύνολο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</w:p>
        </w:tc>
        <w:tc>
          <w:tcPr>
            <w:tcW w:w="5955" w:type="dxa"/>
          </w:tcPr>
          <w:p>
            <w:pPr>
              <w:pStyle w:val="TableParagraph"/>
              <w:spacing w:line="194" w:lineRule="auto"/>
              <w:ind w:left="156" w:right="87"/>
              <w:rPr>
                <w:sz w:val="12"/>
              </w:rPr>
            </w:pPr>
            <w:r>
              <w:rPr>
                <w:spacing w:val="-4"/>
                <w:sz w:val="12"/>
              </w:rPr>
              <w:t>Αποτέλεσμα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προ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Προβλέψεων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(43)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(ετησιοποιημένο)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διαιρούμενο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με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μέσο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υπόλοιπο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Συνόλου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Ενεργητικού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(59)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αντίστοιχης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περιόδου.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μέσο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υπόλοιπο του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Συνόλου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ορίζεται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ως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αριθμητικός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μέσος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όρος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Συνόλου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στο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τέλος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</w:p>
          <w:p>
            <w:pPr>
              <w:pStyle w:val="TableParagraph"/>
              <w:spacing w:line="100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περιόδου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τέλος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προηγούμενης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0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290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6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43</w:t>
            </w:r>
          </w:p>
        </w:tc>
        <w:tc>
          <w:tcPr>
            <w:tcW w:w="1557" w:type="dxa"/>
          </w:tcPr>
          <w:p>
            <w:pPr>
              <w:pStyle w:val="TableParagraph"/>
              <w:spacing w:line="139" w:lineRule="exact"/>
              <w:ind w:left="141"/>
              <w:rPr>
                <w:sz w:val="12"/>
              </w:rPr>
            </w:pPr>
            <w:r>
              <w:rPr>
                <w:spacing w:val="-5"/>
                <w:sz w:val="12"/>
              </w:rPr>
              <w:t>Αποτέλεσμα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5"/>
                <w:sz w:val="12"/>
              </w:rPr>
              <w:t>προ</w:t>
            </w:r>
          </w:p>
          <w:p>
            <w:pPr>
              <w:pStyle w:val="TableParagraph"/>
              <w:spacing w:line="131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Προβλέψεων</w:t>
            </w:r>
          </w:p>
        </w:tc>
        <w:tc>
          <w:tcPr>
            <w:tcW w:w="5955" w:type="dxa"/>
          </w:tcPr>
          <w:p>
            <w:pPr>
              <w:pStyle w:val="TableParagraph"/>
              <w:spacing w:before="59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Λειτουργικά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Έσοδα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(38)</w:t>
            </w:r>
            <w:r>
              <w:rPr>
                <w:spacing w:val="-2"/>
                <w:sz w:val="12"/>
              </w:rPr>
              <w:t> </w:t>
            </w:r>
            <w:r>
              <w:rPr>
                <w:w w:val="90"/>
                <w:sz w:val="12"/>
              </w:rPr>
              <w:t>μείον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Λειτουργικά</w:t>
            </w:r>
            <w:r>
              <w:rPr>
                <w:spacing w:val="-3"/>
                <w:sz w:val="12"/>
              </w:rPr>
              <w:t> </w:t>
            </w:r>
            <w:r>
              <w:rPr>
                <w:w w:val="90"/>
                <w:sz w:val="12"/>
              </w:rPr>
              <w:t>Έξοδα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(60)</w:t>
            </w:r>
            <w:r>
              <w:rPr>
                <w:sz w:val="12"/>
              </w:rPr>
              <w:t> </w:t>
            </w:r>
            <w:r>
              <w:rPr>
                <w:w w:val="90"/>
                <w:sz w:val="12"/>
              </w:rPr>
              <w:t>της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περιόδου.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6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424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3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44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41"/>
              <w:rPr>
                <w:sz w:val="12"/>
              </w:rPr>
            </w:pPr>
            <w:r>
              <w:rPr>
                <w:w w:val="90"/>
                <w:sz w:val="12"/>
              </w:rPr>
              <w:t>Κέρδη/(ζηµιές) πριν το</w:t>
            </w:r>
            <w:r>
              <w:rPr>
                <w:sz w:val="12"/>
              </w:rPr>
              <w:t> φόρο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εισοδήµατος</w:t>
            </w:r>
          </w:p>
        </w:tc>
        <w:tc>
          <w:tcPr>
            <w:tcW w:w="5955" w:type="dxa"/>
          </w:tcPr>
          <w:p>
            <w:pPr>
              <w:pStyle w:val="TableParagraph"/>
              <w:spacing w:before="61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Λειτουργικά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Έσοδα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(38)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Λειτουργικά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Έξοδα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(60)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συν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Ζηµιές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αποµείωσης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δανείων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(17),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συν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Λοιπά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Κονδύλια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(41).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3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726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4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45</w:t>
            </w:r>
          </w:p>
        </w:tc>
        <w:tc>
          <w:tcPr>
            <w:tcW w:w="1557" w:type="dxa"/>
          </w:tcPr>
          <w:p>
            <w:pPr>
              <w:pStyle w:val="TableParagraph"/>
              <w:ind w:left="141" w:right="131"/>
              <w:rPr>
                <w:sz w:val="12"/>
              </w:rPr>
            </w:pPr>
            <w:r>
              <w:rPr>
                <w:spacing w:val="-2"/>
                <w:sz w:val="12"/>
              </w:rPr>
              <w:t>Κέρδη/(Ζηµιές)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µετά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φόρο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εισοδήµατος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</w:p>
          <w:p>
            <w:pPr>
              <w:pStyle w:val="TableParagraph"/>
              <w:spacing w:line="146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συνεχιζόµενες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δραστηριότητες</w:t>
            </w:r>
          </w:p>
        </w:tc>
        <w:tc>
          <w:tcPr>
            <w:tcW w:w="5955" w:type="dxa"/>
          </w:tcPr>
          <w:p>
            <w:pPr>
              <w:pStyle w:val="TableParagraph"/>
              <w:spacing w:before="6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Κέρδη/(Ζηµιές)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πριν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φόρο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εισοδήµατος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(44)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αναφοράς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τον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Φόρο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εισοδήματος</w:t>
            </w:r>
            <w:r>
              <w:rPr>
                <w:sz w:val="12"/>
              </w:rPr>
              <w:t> της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περιόδου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(21).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9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855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59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46</w:t>
            </w:r>
          </w:p>
        </w:tc>
        <w:tc>
          <w:tcPr>
            <w:tcW w:w="1557" w:type="dxa"/>
          </w:tcPr>
          <w:p>
            <w:pPr>
              <w:pStyle w:val="TableParagraph"/>
              <w:spacing w:before="59"/>
              <w:ind w:left="141" w:right="131"/>
              <w:rPr>
                <w:sz w:val="12"/>
              </w:rPr>
            </w:pPr>
            <w:r>
              <w:rPr>
                <w:sz w:val="12"/>
              </w:rPr>
              <w:t>Καθαρά κέρδη / </w:t>
            </w:r>
            <w:r>
              <w:rPr>
                <w:spacing w:val="-6"/>
                <w:sz w:val="12"/>
              </w:rPr>
              <w:t>(ζημιές)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6"/>
                <w:sz w:val="12"/>
              </w:rPr>
              <w:t>µετά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6"/>
                <w:sz w:val="12"/>
              </w:rPr>
              <w:t>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6"/>
                <w:sz w:val="12"/>
              </w:rPr>
              <w:t>φόρο</w:t>
            </w:r>
            <w:r>
              <w:rPr>
                <w:sz w:val="12"/>
              </w:rPr>
              <w:t> εισοδήµατος,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από</w:t>
            </w:r>
          </w:p>
          <w:p>
            <w:pPr>
              <w:pStyle w:val="TableParagraph"/>
              <w:spacing w:line="237" w:lineRule="auto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διακοπείσες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δραστηριότητες</w:t>
            </w:r>
          </w:p>
        </w:tc>
        <w:tc>
          <w:tcPr>
            <w:tcW w:w="5955" w:type="dxa"/>
          </w:tcPr>
          <w:p>
            <w:pPr>
              <w:pStyle w:val="TableParagraph"/>
              <w:spacing w:line="232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Καθαρά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κέρδη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/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(ζημιές)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μετά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φόρο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εισοδήματος,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διακοπείσες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δραστηριότητες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όπως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ορίζεται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στην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Ενοποιημένη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Κατάσταση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Αποτελεσμάτων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</w:p>
          <w:p>
            <w:pPr>
              <w:pStyle w:val="TableParagraph"/>
              <w:spacing w:line="235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δημοσίευσης μείον της αναπροσαρμογές διοίκησης. Οι αναπροσαρμογές διοίκησης στα λειτουργικά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έξοδα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περιλαμβάνουν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γεγονότα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δεν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συμβαίνουν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με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συγκεκριμένη συχνότητα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γεγονότα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επηρεάζονται άμεσα από τις τρέχουσες συνθήκες της αγοράς ή/και παρουσιάζουν σημαντικές</w:t>
            </w:r>
          </w:p>
          <w:p>
            <w:pPr>
              <w:pStyle w:val="TableParagraph"/>
              <w:spacing w:line="128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διακυμάνσεις</w:t>
            </w:r>
            <w:r>
              <w:rPr>
                <w:spacing w:val="9"/>
                <w:sz w:val="12"/>
              </w:rPr>
              <w:t> </w:t>
            </w:r>
            <w:r>
              <w:rPr>
                <w:w w:val="90"/>
                <w:sz w:val="12"/>
              </w:rPr>
              <w:t>μεταξύ</w:t>
            </w:r>
            <w:r>
              <w:rPr>
                <w:spacing w:val="10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10"/>
                <w:sz w:val="12"/>
              </w:rPr>
              <w:t> </w:t>
            </w:r>
            <w:r>
              <w:rPr>
                <w:w w:val="90"/>
                <w:sz w:val="12"/>
              </w:rPr>
              <w:t>περιόδων</w:t>
            </w:r>
            <w:r>
              <w:rPr>
                <w:spacing w:val="1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59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570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3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47</w:t>
            </w:r>
          </w:p>
        </w:tc>
        <w:tc>
          <w:tcPr>
            <w:tcW w:w="1557" w:type="dxa"/>
          </w:tcPr>
          <w:p>
            <w:pPr>
              <w:pStyle w:val="TableParagraph"/>
              <w:spacing w:before="61"/>
              <w:ind w:left="141"/>
              <w:rPr>
                <w:sz w:val="12"/>
              </w:rPr>
            </w:pPr>
            <w:r>
              <w:rPr>
                <w:w w:val="90"/>
                <w:sz w:val="12"/>
              </w:rPr>
              <w:t>Κέρδη/(ζηµιές)</w:t>
            </w:r>
            <w:r>
              <w:rPr>
                <w:spacing w:val="-7"/>
                <w:w w:val="90"/>
                <w:sz w:val="12"/>
              </w:rPr>
              <w:t> </w:t>
            </w:r>
            <w:r>
              <w:rPr>
                <w:w w:val="90"/>
                <w:sz w:val="12"/>
              </w:rPr>
              <w:t>που</w:t>
            </w:r>
            <w:r>
              <w:rPr>
                <w:sz w:val="12"/>
              </w:rPr>
              <w:t> αναλογούν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στους </w:t>
            </w:r>
            <w:r>
              <w:rPr>
                <w:spacing w:val="-2"/>
                <w:sz w:val="12"/>
              </w:rPr>
              <w:t>μετόχους</w:t>
            </w:r>
          </w:p>
        </w:tc>
        <w:tc>
          <w:tcPr>
            <w:tcW w:w="5955" w:type="dxa"/>
          </w:tcPr>
          <w:p>
            <w:pPr>
              <w:pStyle w:val="TableParagraph"/>
              <w:spacing w:line="235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Κέρδη/(ζημιές) μετά το φόρο εισοδήματος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από συνεχιζόμενες δραστηριότητες (45) της περιόδου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αναφοράς,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επίπτωση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συναλλαγές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ΜΕΑ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(14)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συν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Κέρδη/(ζημιές)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μετά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φόρο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εισοδήματος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από διακοπείσες δραστηριότητες (46), συν Λοιπές αναπροσαρμογές(40), συν Δικαιώματα τρίτων,</w:t>
            </w:r>
          </w:p>
          <w:p>
            <w:pPr>
              <w:pStyle w:val="TableParagraph"/>
              <w:spacing w:line="128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όπως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ορίζονται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στην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Ενοποιημένη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Κατάσταση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Αποτελεσμάτων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δημοσίευσης.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3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288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7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48</w:t>
            </w:r>
          </w:p>
        </w:tc>
        <w:tc>
          <w:tcPr>
            <w:tcW w:w="1557" w:type="dxa"/>
          </w:tcPr>
          <w:p>
            <w:pPr>
              <w:pStyle w:val="TableParagraph"/>
              <w:spacing w:line="144" w:lineRule="exact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Εξόδων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προς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Έσοδα</w:t>
            </w:r>
          </w:p>
        </w:tc>
        <w:tc>
          <w:tcPr>
            <w:tcW w:w="5955" w:type="dxa"/>
          </w:tcPr>
          <w:p>
            <w:pPr>
              <w:pStyle w:val="TableParagraph"/>
              <w:spacing w:line="144" w:lineRule="exact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λόγος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Επαναλαμβανόμενων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Λειτουργικών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Εξόδων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(49)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Λειτουργικά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Έσοδα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(38)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της αντίστοιχης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7"/>
              <w:ind w:left="5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sz w:val="12"/>
              </w:rPr>
              <w:t>Αποδοτικότητας</w:t>
            </w:r>
          </w:p>
        </w:tc>
      </w:tr>
      <w:tr>
        <w:trPr>
          <w:trHeight w:val="573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3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49</w:t>
            </w:r>
          </w:p>
        </w:tc>
        <w:tc>
          <w:tcPr>
            <w:tcW w:w="1557" w:type="dxa"/>
          </w:tcPr>
          <w:p>
            <w:pPr>
              <w:pStyle w:val="TableParagraph"/>
              <w:spacing w:line="232" w:lineRule="auto" w:before="142"/>
              <w:ind w:left="141"/>
              <w:rPr>
                <w:sz w:val="12"/>
              </w:rPr>
            </w:pPr>
            <w:r>
              <w:rPr>
                <w:spacing w:val="-6"/>
                <w:sz w:val="12"/>
              </w:rPr>
              <w:t>Επαναλαμβανόμενα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Λειτουργικά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Έξοδα</w:t>
            </w:r>
          </w:p>
        </w:tc>
        <w:tc>
          <w:tcPr>
            <w:tcW w:w="5955" w:type="dxa"/>
          </w:tcPr>
          <w:p>
            <w:pPr>
              <w:pStyle w:val="TableParagraph"/>
              <w:spacing w:line="235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Σύνολο Λειτουργικών εξόδων (60) μείον αναπροσαρμογές διοίκησης στα λειτουργικά έξοδα. Οι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αναπροσαρμογές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διοίκησης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λειτουργικά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έξοδα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περιλαμβάνουν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γεγονότα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δεν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συμβαίνουν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με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συγκεκριμένη συχνότητα και γεγονότα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που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επηρεάζονται άμεσα από τις τρέχουσες συνθήκες της</w:t>
            </w:r>
          </w:p>
          <w:p>
            <w:pPr>
              <w:pStyle w:val="TableParagraph"/>
              <w:spacing w:line="128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αγοράς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ή/και</w:t>
            </w:r>
            <w:r>
              <w:rPr>
                <w:spacing w:val="12"/>
                <w:sz w:val="12"/>
              </w:rPr>
              <w:t> </w:t>
            </w:r>
            <w:r>
              <w:rPr>
                <w:w w:val="90"/>
                <w:sz w:val="12"/>
              </w:rPr>
              <w:t>παρουσιάζουν</w:t>
            </w:r>
            <w:r>
              <w:rPr>
                <w:spacing w:val="11"/>
                <w:sz w:val="12"/>
              </w:rPr>
              <w:t> </w:t>
            </w:r>
            <w:r>
              <w:rPr>
                <w:w w:val="90"/>
                <w:sz w:val="12"/>
              </w:rPr>
              <w:t>σημαντικές</w:t>
            </w:r>
            <w:r>
              <w:rPr>
                <w:spacing w:val="9"/>
                <w:sz w:val="12"/>
              </w:rPr>
              <w:t> </w:t>
            </w:r>
            <w:r>
              <w:rPr>
                <w:w w:val="90"/>
                <w:sz w:val="12"/>
              </w:rPr>
              <w:t>διακυμάνσεις</w:t>
            </w:r>
            <w:r>
              <w:rPr>
                <w:spacing w:val="12"/>
                <w:sz w:val="12"/>
              </w:rPr>
              <w:t> </w:t>
            </w:r>
            <w:r>
              <w:rPr>
                <w:w w:val="90"/>
                <w:sz w:val="12"/>
              </w:rPr>
              <w:t>μεταξύ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12"/>
                <w:sz w:val="12"/>
              </w:rPr>
              <w:t> </w:t>
            </w:r>
            <w:r>
              <w:rPr>
                <w:w w:val="90"/>
                <w:sz w:val="12"/>
              </w:rPr>
              <w:t>περιόδων</w:t>
            </w:r>
            <w:r>
              <w:rPr>
                <w:spacing w:val="12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5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sz w:val="12"/>
              </w:rPr>
              <w:t>Αποδοτικότητας</w:t>
            </w:r>
          </w:p>
        </w:tc>
      </w:tr>
      <w:tr>
        <w:trPr>
          <w:trHeight w:val="856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50</w:t>
            </w:r>
          </w:p>
        </w:tc>
        <w:tc>
          <w:tcPr>
            <w:tcW w:w="1557" w:type="dxa"/>
          </w:tcPr>
          <w:p>
            <w:pPr>
              <w:pStyle w:val="TableParagraph"/>
              <w:spacing w:before="135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141" w:right="131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απόδοσης</w:t>
            </w:r>
            <w:r>
              <w:rPr>
                <w:sz w:val="12"/>
              </w:rPr>
              <w:t> ιδίων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κεφαλαίων</w:t>
            </w:r>
          </w:p>
        </w:tc>
        <w:tc>
          <w:tcPr>
            <w:tcW w:w="5955" w:type="dxa"/>
          </w:tcPr>
          <w:p>
            <w:pPr>
              <w:pStyle w:val="TableParagraph"/>
              <w:spacing w:line="137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Ο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λόγος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Καθαρών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κερδών/(ζημιών)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που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αναλογούν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στους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Μετόχους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της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Τράπεζας</w:t>
            </w:r>
          </w:p>
          <w:p>
            <w:pPr>
              <w:pStyle w:val="TableParagraph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(ετησιοποιημένα),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δημοσιεύονται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στην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Ενοποιημένη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Κατάσταση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Αποτελεσμάτων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αναφοράς, προς το μέσο υπόλοιπο των Κεφαλαίων και αποθεματικών που αναλογούν στους</w:t>
            </w:r>
          </w:p>
          <w:p>
            <w:pPr>
              <w:pStyle w:val="TableParagraph"/>
              <w:spacing w:line="139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Mετόχους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Εταιρίας,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δημοσιεύονται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στον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Ισολογισμό,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λαμβανομένων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υπόψη</w:t>
            </w:r>
          </w:p>
          <w:p>
            <w:pPr>
              <w:pStyle w:val="TableParagraph"/>
              <w:spacing w:line="142" w:lineRule="exact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τυχόν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αναμορφώσεων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στα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λόγω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κονδύλια.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μέσο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υπόλοιπο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ορίζεται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αριθμητικός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μέσος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όρος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του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υπολοίπου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τέλος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στο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τέλος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προηγούμενης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περιόδου.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714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51</w:t>
            </w:r>
          </w:p>
        </w:tc>
        <w:tc>
          <w:tcPr>
            <w:tcW w:w="1557" w:type="dxa"/>
          </w:tcPr>
          <w:p>
            <w:pPr>
              <w:pStyle w:val="TableParagraph"/>
              <w:spacing w:before="138"/>
              <w:ind w:left="141" w:right="357"/>
              <w:rPr>
                <w:sz w:val="12"/>
              </w:rPr>
            </w:pPr>
            <w:r>
              <w:rPr>
                <w:spacing w:val="-4"/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Απόδοσης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Ενσώματων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Ιδίων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Κεφαλαίων</w:t>
            </w:r>
          </w:p>
        </w:tc>
        <w:tc>
          <w:tcPr>
            <w:tcW w:w="5955" w:type="dxa"/>
          </w:tcPr>
          <w:p>
            <w:pPr>
              <w:pStyle w:val="TableParagraph"/>
              <w:spacing w:line="235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λόγος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Προσαρμοσμένων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Κερδών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μετά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Φόρους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(ετησιοποιημένα)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(37)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την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“πληρωμή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κουπονιού ΑΤ1” όπως δημοσιεύονται στην Ενοποιημένη Κατάσταση Μεταβολών της Καθαρής Θέσης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προς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μέσο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υπόλοιπο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προσαρμοσμένης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Ενσώματης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Καθαρής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Θέσης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(57).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μέσο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υπόλοιπο</w:t>
            </w:r>
          </w:p>
          <w:p>
            <w:pPr>
              <w:pStyle w:val="TableParagraph"/>
              <w:spacing w:line="142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ορίζεται ως 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αριθμητικός μέσος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όρος του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υπολοίπου στο τέλος της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και στο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τέλος της</w:t>
            </w:r>
            <w:r>
              <w:rPr>
                <w:sz w:val="12"/>
              </w:rPr>
              <w:t> προηγούμενης</w:t>
            </w:r>
            <w:r>
              <w:rPr>
                <w:spacing w:val="-12"/>
                <w:sz w:val="12"/>
              </w:rPr>
              <w:t> </w:t>
            </w:r>
            <w:r>
              <w:rPr>
                <w:sz w:val="12"/>
              </w:rPr>
              <w:t>περιόδου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7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722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9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52</w:t>
            </w:r>
          </w:p>
        </w:tc>
        <w:tc>
          <w:tcPr>
            <w:tcW w:w="1557" w:type="dxa"/>
          </w:tcPr>
          <w:p>
            <w:pPr>
              <w:pStyle w:val="TableParagraph"/>
              <w:spacing w:line="144" w:lineRule="exact"/>
              <w:ind w:left="141" w:right="247"/>
              <w:rPr>
                <w:sz w:val="12"/>
              </w:rPr>
            </w:pPr>
            <w:r>
              <w:rPr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Απόδοσης Ενσώματων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Ιδίων </w:t>
            </w:r>
            <w:r>
              <w:rPr>
                <w:spacing w:val="-6"/>
                <w:sz w:val="12"/>
              </w:rPr>
              <w:t>Κεφαλαίων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6"/>
                <w:sz w:val="12"/>
              </w:rPr>
              <w:t>(με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6"/>
                <w:sz w:val="12"/>
              </w:rPr>
              <w:t>βάση</w:t>
            </w:r>
            <w:r>
              <w:rPr>
                <w:sz w:val="12"/>
              </w:rPr>
              <w:t> τα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Προσαρμοσμένα </w:t>
            </w:r>
            <w:r>
              <w:rPr>
                <w:spacing w:val="-2"/>
                <w:sz w:val="12"/>
              </w:rPr>
              <w:t>Κέρδη)</w:t>
            </w:r>
          </w:p>
        </w:tc>
        <w:tc>
          <w:tcPr>
            <w:tcW w:w="5955" w:type="dxa"/>
          </w:tcPr>
          <w:p>
            <w:pPr>
              <w:pStyle w:val="TableParagraph"/>
              <w:spacing w:line="235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λόγος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Προσαρμοσμένων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Κερδών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μετά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από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Φόρους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(ετησιοποιημένα)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(37)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την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“πληρωμή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κουπονιού ΑΤ1” όπως δημοσιεύονται στην Ενοποιημένη Κατάσταση Μεταβολών της Καθαρής Θέσης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προς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μέσο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υπόλοιπο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Ενσώματης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Καθαρής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Θέσης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(56).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μέσο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υπόλοιπο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ορίζεται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ο</w:t>
            </w:r>
          </w:p>
          <w:p>
            <w:pPr>
              <w:pStyle w:val="TableParagraph"/>
              <w:spacing w:line="144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αριθμητικός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μέσος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υπολοίπου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τέλος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στο τέλος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προηγούμενης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περιόδου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9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856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53</w:t>
            </w:r>
          </w:p>
        </w:tc>
        <w:tc>
          <w:tcPr>
            <w:tcW w:w="1557" w:type="dxa"/>
          </w:tcPr>
          <w:p>
            <w:pPr>
              <w:pStyle w:val="TableParagraph"/>
              <w:spacing w:before="64"/>
              <w:ind w:left="141" w:right="184"/>
              <w:rPr>
                <w:sz w:val="12"/>
              </w:rPr>
            </w:pPr>
            <w:r>
              <w:rPr>
                <w:sz w:val="12"/>
              </w:rPr>
              <w:t>Δείκτης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Απόδοσης Ενσώματων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Ιδίων </w:t>
            </w:r>
            <w:r>
              <w:rPr>
                <w:spacing w:val="-6"/>
                <w:sz w:val="12"/>
              </w:rPr>
              <w:t>Κεφαλαίων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6"/>
                <w:sz w:val="12"/>
              </w:rPr>
              <w:t>(με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6"/>
                <w:sz w:val="12"/>
              </w:rPr>
              <w:t>βάση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τα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δημοσιοποιημένα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Κέρδη)</w:t>
            </w:r>
          </w:p>
        </w:tc>
        <w:tc>
          <w:tcPr>
            <w:tcW w:w="5955" w:type="dxa"/>
          </w:tcPr>
          <w:p>
            <w:pPr>
              <w:pStyle w:val="TableParagraph"/>
              <w:spacing w:line="137" w:lineRule="exact"/>
              <w:ind w:left="156"/>
              <w:jc w:val="both"/>
              <w:rPr>
                <w:sz w:val="12"/>
              </w:rPr>
            </w:pPr>
            <w:r>
              <w:rPr>
                <w:w w:val="90"/>
                <w:sz w:val="12"/>
              </w:rPr>
              <w:t>Ο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λόγος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Καθαρών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κερδών/(ζημιών)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που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αναλογούν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στους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Μετόχους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της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Τράπεζας</w:t>
            </w:r>
          </w:p>
          <w:p>
            <w:pPr>
              <w:pStyle w:val="TableParagraph"/>
              <w:spacing w:line="235" w:lineRule="auto" w:before="1"/>
              <w:ind w:left="156" w:right="179"/>
              <w:jc w:val="both"/>
              <w:rPr>
                <w:sz w:val="12"/>
              </w:rPr>
            </w:pPr>
            <w:r>
              <w:rPr>
                <w:spacing w:val="-4"/>
                <w:sz w:val="12"/>
              </w:rPr>
              <w:t>(ετησιοποιημένα),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δημοσιεύονται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στην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Ενοποιημένη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Κατάσταση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Αποτελεσμάτων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αναφοράς μείον την “πληρωμή κουπονιού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ΑΤ1” όπως δημοσιεύονται στην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Ενοποιημένη Κατάσταση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Μεταβολών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Καθαρής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Θέσης,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προς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μέσο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υπόλοιπο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της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Ενσώματης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Καθαρής</w:t>
            </w:r>
          </w:p>
          <w:p>
            <w:pPr>
              <w:pStyle w:val="TableParagraph"/>
              <w:spacing w:line="142" w:lineRule="exact"/>
              <w:ind w:left="156" w:right="260"/>
              <w:jc w:val="both"/>
              <w:rPr>
                <w:sz w:val="12"/>
              </w:rPr>
            </w:pPr>
            <w:r>
              <w:rPr>
                <w:spacing w:val="-4"/>
                <w:sz w:val="12"/>
              </w:rPr>
              <w:t>Θέσης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(56).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μέσο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υπόλοιπο ορίζεται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ως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αριθμητικός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μέσος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υπολοίπου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τέλος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z w:val="12"/>
              </w:rPr>
              <w:t> περιόδου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και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στο</w:t>
            </w:r>
            <w:r>
              <w:rPr>
                <w:spacing w:val="-10"/>
                <w:sz w:val="12"/>
              </w:rPr>
              <w:t> </w:t>
            </w:r>
            <w:r>
              <w:rPr>
                <w:sz w:val="12"/>
              </w:rPr>
              <w:t>τέλος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της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προηγούμενης</w:t>
            </w:r>
            <w:r>
              <w:rPr>
                <w:spacing w:val="-14"/>
                <w:sz w:val="12"/>
              </w:rPr>
              <w:t> </w:t>
            </w:r>
            <w:r>
              <w:rPr>
                <w:sz w:val="12"/>
              </w:rPr>
              <w:t>περιόδου.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before="62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κερδοφορίας</w:t>
            </w:r>
          </w:p>
        </w:tc>
      </w:tr>
      <w:tr>
        <w:trPr>
          <w:trHeight w:val="292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8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54</w:t>
            </w:r>
          </w:p>
        </w:tc>
        <w:tc>
          <w:tcPr>
            <w:tcW w:w="1557" w:type="dxa"/>
          </w:tcPr>
          <w:p>
            <w:pPr>
              <w:pStyle w:val="TableParagraph"/>
              <w:spacing w:before="68"/>
              <w:ind w:left="141"/>
              <w:rPr>
                <w:sz w:val="12"/>
              </w:rPr>
            </w:pPr>
            <w:r>
              <w:rPr>
                <w:sz w:val="12"/>
              </w:rPr>
              <w:t>“RWA </w:t>
            </w:r>
            <w:r>
              <w:rPr>
                <w:spacing w:val="-2"/>
                <w:sz w:val="12"/>
              </w:rPr>
              <w:t>Density”</w:t>
            </w:r>
          </w:p>
        </w:tc>
        <w:tc>
          <w:tcPr>
            <w:tcW w:w="5955" w:type="dxa"/>
          </w:tcPr>
          <w:p>
            <w:pPr>
              <w:pStyle w:val="TableParagraph"/>
              <w:spacing w:line="146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λόγος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Σταθμισμένων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για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τον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Κίνδυνο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Στοιχείων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Ενεργητικού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(RWAs)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προς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Σύνολο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του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Ενεργητικού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(59)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για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την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περίοδο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8"/>
              <w:ind w:left="8" w:righ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429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6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55</w:t>
            </w:r>
          </w:p>
        </w:tc>
        <w:tc>
          <w:tcPr>
            <w:tcW w:w="1557" w:type="dxa"/>
          </w:tcPr>
          <w:p>
            <w:pPr>
              <w:pStyle w:val="TableParagraph"/>
              <w:spacing w:before="136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Χρεόγραφα</w:t>
            </w:r>
          </w:p>
        </w:tc>
        <w:tc>
          <w:tcPr>
            <w:tcW w:w="5955" w:type="dxa"/>
          </w:tcPr>
          <w:p>
            <w:pPr>
              <w:pStyle w:val="TableParagraph"/>
              <w:spacing w:line="138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Ο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όρος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αυτός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αντιστοιχεί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στο</w:t>
            </w:r>
            <w:r>
              <w:rPr>
                <w:spacing w:val="8"/>
                <w:sz w:val="12"/>
              </w:rPr>
              <w:t> </w:t>
            </w:r>
            <w:r>
              <w:rPr>
                <w:w w:val="90"/>
                <w:sz w:val="12"/>
              </w:rPr>
              <w:t>άθροισμα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από</w:t>
            </w:r>
            <w:r>
              <w:rPr>
                <w:spacing w:val="9"/>
                <w:sz w:val="12"/>
              </w:rPr>
              <w:t> </w:t>
            </w:r>
            <w:r>
              <w:rPr>
                <w:w w:val="90"/>
                <w:sz w:val="12"/>
              </w:rPr>
              <w:t>τα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«Αξιόγραφα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επενδυτικού</w:t>
            </w:r>
            <w:r>
              <w:rPr>
                <w:spacing w:val="7"/>
                <w:sz w:val="12"/>
              </w:rPr>
              <w:t> </w:t>
            </w:r>
            <w:r>
              <w:rPr>
                <w:w w:val="90"/>
                <w:sz w:val="12"/>
              </w:rPr>
              <w:t>χαρτοφυλακίου»</w:t>
            </w:r>
            <w:r>
              <w:rPr>
                <w:spacing w:val="8"/>
                <w:sz w:val="12"/>
              </w:rPr>
              <w:t> </w:t>
            </w:r>
            <w:r>
              <w:rPr>
                <w:spacing w:val="-5"/>
                <w:w w:val="90"/>
                <w:sz w:val="12"/>
              </w:rPr>
              <w:t>και</w:t>
            </w:r>
          </w:p>
          <w:p>
            <w:pPr>
              <w:pStyle w:val="TableParagraph"/>
              <w:spacing w:line="144" w:lineRule="exact"/>
              <w:ind w:left="156" w:right="214"/>
              <w:rPr>
                <w:sz w:val="12"/>
              </w:rPr>
            </w:pPr>
            <w:r>
              <w:rPr>
                <w:spacing w:val="-4"/>
                <w:sz w:val="12"/>
              </w:rPr>
              <w:t>«Αξιόγραφα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εμπορικού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χαρτοφυλακίου»,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αυτά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δημοσιεύονται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στον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Ενοποιημένο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Ισολογισμό</w:t>
            </w:r>
            <w:r>
              <w:rPr>
                <w:sz w:val="12"/>
              </w:rPr>
              <w:t> την περίοδο αναφοράς.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6"/>
              <w:ind w:left="8" w:righ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714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5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56</w:t>
            </w:r>
          </w:p>
        </w:tc>
        <w:tc>
          <w:tcPr>
            <w:tcW w:w="1557" w:type="dxa"/>
          </w:tcPr>
          <w:p>
            <w:pPr>
              <w:pStyle w:val="TableParagraph"/>
              <w:spacing w:before="63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spacing w:line="144" w:lineRule="exact"/>
              <w:ind w:left="141"/>
              <w:rPr>
                <w:sz w:val="12"/>
              </w:rPr>
            </w:pPr>
            <w:r>
              <w:rPr>
                <w:w w:val="90"/>
                <w:sz w:val="12"/>
              </w:rPr>
              <w:t>Ενσώματη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2"/>
                <w:sz w:val="12"/>
              </w:rPr>
              <w:t>Καθαρή</w:t>
            </w:r>
          </w:p>
          <w:p>
            <w:pPr>
              <w:pStyle w:val="TableParagraph"/>
              <w:spacing w:line="144" w:lineRule="exact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Θέση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(Λογιστική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Αξία)</w:t>
            </w:r>
          </w:p>
        </w:tc>
        <w:tc>
          <w:tcPr>
            <w:tcW w:w="5955" w:type="dxa"/>
          </w:tcPr>
          <w:p>
            <w:pPr>
              <w:pStyle w:val="TableParagraph"/>
              <w:spacing w:line="137" w:lineRule="exact"/>
              <w:ind w:left="156"/>
              <w:rPr>
                <w:sz w:val="12"/>
              </w:rPr>
            </w:pPr>
            <w:r>
              <w:rPr>
                <w:spacing w:val="-6"/>
                <w:sz w:val="12"/>
              </w:rPr>
              <w:t>Η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Ενσώματη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6"/>
                <w:sz w:val="12"/>
              </w:rPr>
              <w:t>Καθαρή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Θέση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6"/>
                <w:sz w:val="12"/>
              </w:rPr>
              <w:t>(Λογιστική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6"/>
                <w:sz w:val="12"/>
              </w:rPr>
              <w:t>Αξία)</w:t>
            </w:r>
            <w:r>
              <w:rPr>
                <w:spacing w:val="-2"/>
                <w:sz w:val="12"/>
              </w:rPr>
              <w:t> </w:t>
            </w:r>
            <w:r>
              <w:rPr>
                <w:spacing w:val="-6"/>
                <w:sz w:val="12"/>
              </w:rPr>
              <w:t>είναι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το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«σύνολο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6"/>
                <w:sz w:val="12"/>
              </w:rPr>
              <w:t>της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6"/>
                <w:sz w:val="12"/>
              </w:rPr>
              <w:t>Καθαρής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6"/>
                <w:sz w:val="12"/>
              </w:rPr>
              <w:t>Θέσης»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6"/>
                <w:sz w:val="12"/>
              </w:rPr>
              <w:t>μείον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6"/>
                <w:sz w:val="12"/>
              </w:rPr>
              <w:t>την</w:t>
            </w:r>
          </w:p>
          <w:p>
            <w:pPr>
              <w:pStyle w:val="TableParagraph"/>
              <w:spacing w:line="235" w:lineRule="auto" w:before="1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«Υπεραξία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λοιπά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άυλα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πάγια»,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τα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«Δικαιώματα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τρίτων»,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μείον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πρόσθετα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κεφάλαια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κατηγορίας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Ι και μείον τα «Υβριδικά κεφάλαια», όπως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αυτά δημοσιεύονται στον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Ενοποιημένο</w:t>
            </w:r>
            <w:r>
              <w:rPr>
                <w:sz w:val="12"/>
              </w:rPr>
              <w:t> </w:t>
            </w:r>
            <w:r>
              <w:rPr>
                <w:spacing w:val="-6"/>
                <w:sz w:val="12"/>
              </w:rPr>
              <w:t>Ισολογισμό την περίοδο αναφοράς, λαμβανομένων υπόψη τυχόν αναμορφώσεων στα εν λόγω</w:t>
            </w:r>
          </w:p>
          <w:p>
            <w:pPr>
              <w:pStyle w:val="TableParagraph"/>
              <w:spacing w:line="128" w:lineRule="exact"/>
              <w:ind w:left="156"/>
              <w:rPr>
                <w:sz w:val="12"/>
              </w:rPr>
            </w:pPr>
            <w:r>
              <w:rPr>
                <w:spacing w:val="-2"/>
                <w:sz w:val="12"/>
              </w:rPr>
              <w:t>κονδύλια.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5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8" w:righ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431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8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57</w:t>
            </w:r>
          </w:p>
        </w:tc>
        <w:tc>
          <w:tcPr>
            <w:tcW w:w="1557" w:type="dxa"/>
          </w:tcPr>
          <w:p>
            <w:pPr>
              <w:pStyle w:val="TableParagraph"/>
              <w:spacing w:line="237" w:lineRule="auto"/>
              <w:ind w:left="141" w:right="131"/>
              <w:rPr>
                <w:sz w:val="12"/>
              </w:rPr>
            </w:pPr>
            <w:r>
              <w:rPr>
                <w:spacing w:val="-6"/>
                <w:sz w:val="12"/>
              </w:rPr>
              <w:t>Ενσώματη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6"/>
                <w:sz w:val="12"/>
              </w:rPr>
              <w:t>Καθαρή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Θέση</w:t>
            </w:r>
          </w:p>
          <w:p>
            <w:pPr>
              <w:pStyle w:val="TableParagraph"/>
              <w:spacing w:line="127" w:lineRule="exact"/>
              <w:ind w:left="141"/>
              <w:rPr>
                <w:sz w:val="12"/>
              </w:rPr>
            </w:pPr>
            <w:r>
              <w:rPr>
                <w:spacing w:val="-2"/>
                <w:sz w:val="12"/>
              </w:rPr>
              <w:t>(προσαρμοσμένη)</w:t>
            </w:r>
          </w:p>
        </w:tc>
        <w:tc>
          <w:tcPr>
            <w:tcW w:w="5955" w:type="dxa"/>
          </w:tcPr>
          <w:p>
            <w:pPr>
              <w:pStyle w:val="TableParagraph"/>
              <w:spacing w:line="184" w:lineRule="auto" w:before="94"/>
              <w:ind w:left="156" w:right="214"/>
              <w:rPr>
                <w:sz w:val="16"/>
              </w:rPr>
            </w:pPr>
            <w:r>
              <w:rPr>
                <w:spacing w:val="-6"/>
                <w:sz w:val="12"/>
              </w:rPr>
              <w:t>Ενσώματη Καθαρή Θέση (Λογιστική Αξία) (56) εξαιρουμένων: της πρόβλεψης μερισμάτων που δεν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έχουν πληρωθεί καθώς και των κεφαλαίων άνω των ελάχιστων απαιτούμενων εποπτικών ορίων</w:t>
            </w:r>
            <w:r>
              <w:rPr>
                <w:spacing w:val="-4"/>
                <w:sz w:val="16"/>
              </w:rPr>
              <w:t>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8"/>
              <w:ind w:left="8" w:righ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431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8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58</w:t>
            </w:r>
          </w:p>
        </w:tc>
        <w:tc>
          <w:tcPr>
            <w:tcW w:w="1557" w:type="dxa"/>
          </w:tcPr>
          <w:p>
            <w:pPr>
              <w:pStyle w:val="TableParagraph"/>
              <w:spacing w:line="139" w:lineRule="exact"/>
              <w:ind w:left="141"/>
              <w:rPr>
                <w:sz w:val="12"/>
              </w:rPr>
            </w:pPr>
            <w:r>
              <w:rPr>
                <w:w w:val="90"/>
                <w:sz w:val="12"/>
              </w:rPr>
              <w:t>Ενσώματη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2"/>
                <w:sz w:val="12"/>
              </w:rPr>
              <w:t>Καθαρή</w:t>
            </w:r>
          </w:p>
          <w:p>
            <w:pPr>
              <w:pStyle w:val="TableParagraph"/>
              <w:spacing w:line="144" w:lineRule="exact"/>
              <w:ind w:left="141"/>
              <w:rPr>
                <w:sz w:val="12"/>
              </w:rPr>
            </w:pPr>
            <w:r>
              <w:rPr>
                <w:spacing w:val="-4"/>
                <w:sz w:val="12"/>
              </w:rPr>
              <w:t>Θέση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(Λογιστική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Αξία)</w:t>
            </w:r>
            <w:r>
              <w:rPr>
                <w:sz w:val="12"/>
              </w:rPr>
              <w:t> ανά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Μετοχή</w:t>
            </w:r>
          </w:p>
        </w:tc>
        <w:tc>
          <w:tcPr>
            <w:tcW w:w="5955" w:type="dxa"/>
          </w:tcPr>
          <w:p>
            <w:pPr>
              <w:pStyle w:val="TableParagraph"/>
              <w:spacing w:before="138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Ο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λόγος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της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Ενσώματης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Καθαρής</w:t>
            </w:r>
            <w:r>
              <w:rPr>
                <w:spacing w:val="5"/>
                <w:sz w:val="12"/>
              </w:rPr>
              <w:t> </w:t>
            </w:r>
            <w:r>
              <w:rPr>
                <w:w w:val="90"/>
                <w:sz w:val="12"/>
              </w:rPr>
              <w:t>Θέσης</w:t>
            </w:r>
            <w:r>
              <w:rPr>
                <w:spacing w:val="1"/>
                <w:sz w:val="12"/>
              </w:rPr>
              <w:t> </w:t>
            </w:r>
            <w:r>
              <w:rPr>
                <w:w w:val="90"/>
                <w:sz w:val="12"/>
              </w:rPr>
              <w:t>(Λογιστική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Αξία)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(56)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προς</w:t>
            </w:r>
            <w:r>
              <w:rPr>
                <w:spacing w:val="4"/>
                <w:sz w:val="12"/>
              </w:rPr>
              <w:t> </w:t>
            </w:r>
            <w:r>
              <w:rPr>
                <w:w w:val="90"/>
                <w:sz w:val="12"/>
              </w:rPr>
              <w:t>τον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αριθμό</w:t>
            </w:r>
            <w:r>
              <w:rPr>
                <w:spacing w:val="6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μετοχών.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8"/>
              <w:ind w:left="8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Δείκτης</w:t>
            </w:r>
            <w:r>
              <w:rPr>
                <w:spacing w:val="11"/>
                <w:sz w:val="12"/>
              </w:rPr>
              <w:t> </w:t>
            </w:r>
            <w:r>
              <w:rPr>
                <w:spacing w:val="-2"/>
                <w:sz w:val="12"/>
              </w:rPr>
              <w:t>Αποτίμησης</w:t>
            </w:r>
          </w:p>
        </w:tc>
      </w:tr>
      <w:tr>
        <w:trPr>
          <w:trHeight w:val="431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138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59</w:t>
            </w:r>
          </w:p>
        </w:tc>
        <w:tc>
          <w:tcPr>
            <w:tcW w:w="1557" w:type="dxa"/>
          </w:tcPr>
          <w:p>
            <w:pPr>
              <w:pStyle w:val="TableParagraph"/>
              <w:spacing w:before="138"/>
              <w:ind w:left="141"/>
              <w:rPr>
                <w:sz w:val="12"/>
              </w:rPr>
            </w:pPr>
            <w:r>
              <w:rPr>
                <w:w w:val="90"/>
                <w:sz w:val="12"/>
              </w:rPr>
              <w:t>Σύνολο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Ενεργητικού</w:t>
            </w:r>
          </w:p>
        </w:tc>
        <w:tc>
          <w:tcPr>
            <w:tcW w:w="5955" w:type="dxa"/>
          </w:tcPr>
          <w:p>
            <w:pPr>
              <w:pStyle w:val="TableParagraph"/>
              <w:spacing w:line="237" w:lineRule="auto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αντιστοιχεί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«Σύνολο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Ενεργητικού»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(59),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δημοσιεύεται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στον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Ενοποιημένο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Ισολογισμό της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περιόδου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αναφοράς,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λαμβανομένων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υπόψη τυχόν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αναμορφώσεων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στο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εν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λόγω</w:t>
            </w:r>
          </w:p>
          <w:p>
            <w:pPr>
              <w:pStyle w:val="TableParagraph"/>
              <w:spacing w:line="127" w:lineRule="exact"/>
              <w:ind w:left="156"/>
              <w:rPr>
                <w:sz w:val="12"/>
              </w:rPr>
            </w:pPr>
            <w:r>
              <w:rPr>
                <w:spacing w:val="-2"/>
                <w:sz w:val="12"/>
              </w:rPr>
              <w:t>κονδύλι.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38"/>
              <w:ind w:left="8" w:righ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  <w:tr>
        <w:trPr>
          <w:trHeight w:val="578" w:hRule="atLeast"/>
        </w:trPr>
        <w:tc>
          <w:tcPr>
            <w:tcW w:w="725" w:type="dxa"/>
            <w:tcBorders>
              <w:left w:val="nil"/>
            </w:tcBorders>
          </w:tcPr>
          <w:p>
            <w:pPr>
              <w:pStyle w:val="TableParagraph"/>
              <w:spacing w:before="65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237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60</w:t>
            </w:r>
          </w:p>
        </w:tc>
        <w:tc>
          <w:tcPr>
            <w:tcW w:w="1557" w:type="dxa"/>
          </w:tcPr>
          <w:p>
            <w:pPr>
              <w:pStyle w:val="TableParagraph"/>
              <w:spacing w:before="138"/>
              <w:ind w:left="141" w:right="171"/>
              <w:rPr>
                <w:sz w:val="12"/>
              </w:rPr>
            </w:pPr>
            <w:r>
              <w:rPr>
                <w:spacing w:val="-4"/>
                <w:sz w:val="12"/>
              </w:rPr>
              <w:t>Συνολικά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Λειτουργικά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Έξοδα</w:t>
            </w:r>
          </w:p>
        </w:tc>
        <w:tc>
          <w:tcPr>
            <w:tcW w:w="5955" w:type="dxa"/>
          </w:tcPr>
          <w:p>
            <w:pPr>
              <w:pStyle w:val="TableParagraph"/>
              <w:spacing w:line="139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Ο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όρος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αυτός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περιλαμβάνει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σύνολο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Αμοιβών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εξόδων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4"/>
                <w:sz w:val="12"/>
              </w:rPr>
              <w:t>προσωπικού,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Εξόδων</w:t>
            </w:r>
          </w:p>
          <w:p>
            <w:pPr>
              <w:pStyle w:val="TableParagraph"/>
              <w:spacing w:line="144" w:lineRule="exact"/>
              <w:ind w:left="156"/>
              <w:rPr>
                <w:sz w:val="12"/>
              </w:rPr>
            </w:pPr>
            <w:r>
              <w:rPr>
                <w:w w:val="90"/>
                <w:sz w:val="12"/>
              </w:rPr>
              <w:t>προγραμμάτων</w:t>
            </w:r>
            <w:r>
              <w:rPr>
                <w:spacing w:val="14"/>
                <w:sz w:val="12"/>
              </w:rPr>
              <w:t> </w:t>
            </w:r>
            <w:r>
              <w:rPr>
                <w:w w:val="90"/>
                <w:sz w:val="12"/>
              </w:rPr>
              <w:t>οικιοθελούς</w:t>
            </w:r>
            <w:r>
              <w:rPr>
                <w:spacing w:val="16"/>
                <w:sz w:val="12"/>
              </w:rPr>
              <w:t> </w:t>
            </w:r>
            <w:r>
              <w:rPr>
                <w:w w:val="90"/>
                <w:sz w:val="12"/>
              </w:rPr>
              <w:t>αποχώρησης</w:t>
            </w:r>
            <w:r>
              <w:rPr>
                <w:spacing w:val="18"/>
                <w:sz w:val="12"/>
              </w:rPr>
              <w:t> </w:t>
            </w:r>
            <w:r>
              <w:rPr>
                <w:w w:val="90"/>
                <w:sz w:val="12"/>
              </w:rPr>
              <w:t>προσωπικού,</w:t>
            </w:r>
            <w:r>
              <w:rPr>
                <w:spacing w:val="15"/>
                <w:sz w:val="12"/>
              </w:rPr>
              <w:t> </w:t>
            </w:r>
            <w:r>
              <w:rPr>
                <w:w w:val="90"/>
                <w:sz w:val="12"/>
              </w:rPr>
              <w:t>των</w:t>
            </w:r>
            <w:r>
              <w:rPr>
                <w:spacing w:val="14"/>
                <w:sz w:val="12"/>
              </w:rPr>
              <w:t> </w:t>
            </w:r>
            <w:r>
              <w:rPr>
                <w:w w:val="90"/>
                <w:sz w:val="12"/>
              </w:rPr>
              <w:t>Γενικών</w:t>
            </w:r>
            <w:r>
              <w:rPr>
                <w:spacing w:val="15"/>
                <w:sz w:val="12"/>
              </w:rPr>
              <w:t> </w:t>
            </w:r>
            <w:r>
              <w:rPr>
                <w:w w:val="90"/>
                <w:sz w:val="12"/>
              </w:rPr>
              <w:t>διοικητικών</w:t>
            </w:r>
            <w:r>
              <w:rPr>
                <w:spacing w:val="18"/>
                <w:sz w:val="12"/>
              </w:rPr>
              <w:t> </w:t>
            </w:r>
            <w:r>
              <w:rPr>
                <w:w w:val="90"/>
                <w:sz w:val="12"/>
              </w:rPr>
              <w:t>εξόδων,</w:t>
            </w:r>
            <w:r>
              <w:rPr>
                <w:spacing w:val="18"/>
                <w:sz w:val="12"/>
              </w:rPr>
              <w:t> </w:t>
            </w:r>
            <w:r>
              <w:rPr>
                <w:spacing w:val="-5"/>
                <w:w w:val="90"/>
                <w:sz w:val="12"/>
              </w:rPr>
              <w:t>των</w:t>
            </w:r>
          </w:p>
          <w:p>
            <w:pPr>
              <w:pStyle w:val="TableParagraph"/>
              <w:spacing w:line="144" w:lineRule="exact"/>
              <w:ind w:left="156"/>
              <w:rPr>
                <w:sz w:val="12"/>
              </w:rPr>
            </w:pPr>
            <w:r>
              <w:rPr>
                <w:spacing w:val="-4"/>
                <w:sz w:val="12"/>
              </w:rPr>
              <w:t>Αποσβέσεων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και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Λοιπών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εξόδων,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όπως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αυτά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δημοσιεύονται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στον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Ενοποιημένο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Ισολογισμό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4"/>
                <w:sz w:val="12"/>
              </w:rPr>
              <w:t>της</w:t>
            </w:r>
            <w:r>
              <w:rPr>
                <w:sz w:val="12"/>
              </w:rPr>
              <w:t> </w:t>
            </w:r>
            <w:r>
              <w:rPr>
                <w:spacing w:val="-4"/>
                <w:sz w:val="12"/>
              </w:rPr>
              <w:t>περιόδου αναφοράς, λαμβανομένων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υπόψη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τυχόν αναμορφώσεων στα εν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4"/>
                <w:sz w:val="12"/>
              </w:rPr>
              <w:t>λόγω κονδύλια.</w:t>
            </w:r>
          </w:p>
        </w:tc>
        <w:tc>
          <w:tcPr>
            <w:tcW w:w="1701" w:type="dxa"/>
          </w:tcPr>
          <w:p>
            <w:pPr>
              <w:pStyle w:val="TableParagraph"/>
              <w:spacing w:before="65"/>
              <w:rPr>
                <w:rFonts w:ascii="Tahoma"/>
                <w:b/>
                <w:sz w:val="12"/>
              </w:rPr>
            </w:pPr>
          </w:p>
          <w:p>
            <w:pPr>
              <w:pStyle w:val="TableParagraph"/>
              <w:ind w:left="8" w:right="1"/>
              <w:jc w:val="center"/>
              <w:rPr>
                <w:sz w:val="12"/>
              </w:rPr>
            </w:pPr>
            <w:r>
              <w:rPr>
                <w:spacing w:val="-4"/>
                <w:sz w:val="12"/>
              </w:rPr>
              <w:t>Τυπική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Τραπεζική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4"/>
                <w:sz w:val="12"/>
              </w:rPr>
              <w:t>ορολογία</w:t>
            </w:r>
          </w:p>
        </w:tc>
      </w:tr>
    </w:tbl>
    <w:p>
      <w:pPr>
        <w:pStyle w:val="TableParagraph"/>
        <w:spacing w:after="0"/>
        <w:jc w:val="center"/>
        <w:rPr>
          <w:sz w:val="12"/>
        </w:rPr>
        <w:sectPr>
          <w:type w:val="continuous"/>
          <w:pgSz w:w="11920" w:h="16850"/>
          <w:pgMar w:header="639" w:footer="648" w:top="1260" w:bottom="840" w:left="283" w:right="425"/>
        </w:sect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03"/>
        <w:rPr>
          <w:rFonts w:ascii="Tahoma"/>
          <w:b/>
          <w:sz w:val="20"/>
        </w:rPr>
      </w:pPr>
    </w:p>
    <w:p>
      <w:pPr>
        <w:pStyle w:val="BodyText"/>
        <w:spacing w:after="0"/>
        <w:rPr>
          <w:rFonts w:ascii="Tahoma"/>
          <w:b/>
          <w:sz w:val="20"/>
        </w:rPr>
        <w:sectPr>
          <w:headerReference w:type="default" r:id="rId21"/>
          <w:footerReference w:type="default" r:id="rId22"/>
          <w:pgSz w:w="11920" w:h="16850"/>
          <w:pgMar w:header="639" w:footer="648" w:top="1260" w:bottom="840" w:left="283" w:right="425"/>
        </w:sectPr>
      </w:pPr>
    </w:p>
    <w:p>
      <w:pPr>
        <w:spacing w:before="99"/>
        <w:ind w:left="425" w:right="0" w:firstLine="0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3736975</wp:posOffset>
            </wp:positionH>
            <wp:positionV relativeFrom="paragraph">
              <wp:posOffset>1195696</wp:posOffset>
            </wp:positionV>
            <wp:extent cx="504189" cy="6057646"/>
            <wp:effectExtent l="0" t="0" r="0" b="0"/>
            <wp:wrapNone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89" cy="6057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color w:val="E2882D"/>
          <w:w w:val="95"/>
          <w:sz w:val="16"/>
        </w:rPr>
        <w:t>Αποτελέσματα</w:t>
      </w:r>
      <w:r>
        <w:rPr>
          <w:rFonts w:ascii="Tahoma" w:hAnsi="Tahoma"/>
          <w:b/>
          <w:color w:val="E2882D"/>
          <w:spacing w:val="-3"/>
          <w:w w:val="95"/>
          <w:sz w:val="16"/>
        </w:rPr>
        <w:t> </w:t>
      </w:r>
      <w:r>
        <w:rPr>
          <w:rFonts w:ascii="Tahoma" w:hAnsi="Tahoma"/>
          <w:b/>
          <w:color w:val="E2882D"/>
          <w:w w:val="95"/>
          <w:sz w:val="16"/>
        </w:rPr>
        <w:t>Χρήσης</w:t>
      </w:r>
      <w:r>
        <w:rPr>
          <w:rFonts w:ascii="Tahoma" w:hAnsi="Tahoma"/>
          <w:b/>
          <w:color w:val="E2882D"/>
          <w:spacing w:val="-3"/>
          <w:w w:val="95"/>
          <w:sz w:val="16"/>
        </w:rPr>
        <w:t> </w:t>
      </w:r>
      <w:r>
        <w:rPr>
          <w:rFonts w:ascii="Tahoma" w:hAnsi="Tahoma"/>
          <w:b/>
          <w:color w:val="E2882D"/>
          <w:w w:val="85"/>
          <w:sz w:val="16"/>
        </w:rPr>
        <w:t>|</w:t>
      </w:r>
      <w:r>
        <w:rPr>
          <w:rFonts w:ascii="Tahoma" w:hAnsi="Tahoma"/>
          <w:b/>
          <w:color w:val="E2882D"/>
          <w:spacing w:val="-1"/>
          <w:w w:val="95"/>
          <w:sz w:val="16"/>
        </w:rPr>
        <w:t> </w:t>
      </w:r>
      <w:r>
        <w:rPr>
          <w:rFonts w:ascii="Tahoma" w:hAnsi="Tahoma"/>
          <w:b/>
          <w:color w:val="E2882D"/>
          <w:spacing w:val="-2"/>
          <w:w w:val="95"/>
          <w:sz w:val="16"/>
        </w:rPr>
        <w:t>Όμιλος</w:t>
      </w:r>
    </w:p>
    <w:p>
      <w:pPr>
        <w:spacing w:before="109"/>
        <w:ind w:left="425" w:right="0" w:firstLine="0"/>
        <w:jc w:val="left"/>
        <w:rPr>
          <w:rFonts w:ascii="Tahoma" w:hAnsi="Tahoma"/>
          <w:b/>
          <w:sz w:val="16"/>
        </w:rPr>
      </w:pPr>
      <w:r>
        <w:rPr/>
        <w:br w:type="column"/>
      </w:r>
      <w:r>
        <w:rPr>
          <w:rFonts w:ascii="Tahoma" w:hAnsi="Tahoma"/>
          <w:b/>
          <w:color w:val="E2882D"/>
          <w:spacing w:val="-6"/>
          <w:sz w:val="16"/>
        </w:rPr>
        <w:t>Συμφωνία</w:t>
      </w:r>
      <w:r>
        <w:rPr>
          <w:rFonts w:ascii="Tahoma" w:hAnsi="Tahoma"/>
          <w:b/>
          <w:color w:val="E2882D"/>
          <w:spacing w:val="4"/>
          <w:sz w:val="16"/>
        </w:rPr>
        <w:t> </w:t>
      </w:r>
      <w:r>
        <w:rPr>
          <w:rFonts w:ascii="Tahoma" w:hAnsi="Tahoma"/>
          <w:b/>
          <w:color w:val="E2882D"/>
          <w:spacing w:val="-6"/>
          <w:sz w:val="16"/>
        </w:rPr>
        <w:t>μεταξύ</w:t>
      </w:r>
      <w:r>
        <w:rPr>
          <w:rFonts w:ascii="Tahoma" w:hAnsi="Tahoma"/>
          <w:b/>
          <w:color w:val="E2882D"/>
          <w:spacing w:val="6"/>
          <w:sz w:val="16"/>
        </w:rPr>
        <w:t> </w:t>
      </w:r>
      <w:r>
        <w:rPr>
          <w:rFonts w:ascii="Tahoma" w:hAnsi="Tahoma"/>
          <w:b/>
          <w:color w:val="E2882D"/>
          <w:spacing w:val="-6"/>
          <w:sz w:val="16"/>
        </w:rPr>
        <w:t>Λογιστικών</w:t>
      </w:r>
    </w:p>
    <w:p>
      <w:pPr>
        <w:spacing w:before="109"/>
        <w:ind w:left="425" w:right="0" w:firstLine="0"/>
        <w:jc w:val="left"/>
        <w:rPr>
          <w:rFonts w:ascii="Tahoma" w:hAnsi="Tahoma"/>
          <w:b/>
          <w:sz w:val="16"/>
        </w:rPr>
      </w:pPr>
      <w:r>
        <w:rPr/>
        <w:br w:type="column"/>
      </w:r>
      <w:r>
        <w:rPr>
          <w:rFonts w:ascii="Tahoma" w:hAnsi="Tahoma"/>
          <w:b/>
          <w:color w:val="E2882D"/>
          <w:spacing w:val="-4"/>
          <w:sz w:val="16"/>
        </w:rPr>
        <w:t>Συμφωνία</w:t>
      </w:r>
      <w:r>
        <w:rPr>
          <w:rFonts w:ascii="Tahoma" w:hAnsi="Tahoma"/>
          <w:b/>
          <w:color w:val="E2882D"/>
          <w:sz w:val="16"/>
        </w:rPr>
        <w:t> </w:t>
      </w:r>
      <w:r>
        <w:rPr>
          <w:rFonts w:ascii="Tahoma" w:hAnsi="Tahoma"/>
          <w:b/>
          <w:color w:val="E2882D"/>
          <w:spacing w:val="-4"/>
          <w:sz w:val="16"/>
        </w:rPr>
        <w:t>μεταξύ</w:t>
      </w:r>
      <w:r>
        <w:rPr>
          <w:rFonts w:ascii="Tahoma" w:hAnsi="Tahoma"/>
          <w:b/>
          <w:color w:val="E2882D"/>
          <w:spacing w:val="2"/>
          <w:sz w:val="16"/>
        </w:rPr>
        <w:t> </w:t>
      </w:r>
      <w:r>
        <w:rPr>
          <w:rFonts w:ascii="Tahoma" w:hAnsi="Tahoma"/>
          <w:b/>
          <w:color w:val="E2882D"/>
          <w:spacing w:val="-4"/>
          <w:sz w:val="16"/>
        </w:rPr>
        <w:t>ΕΔΜΑ</w:t>
      </w:r>
      <w:r>
        <w:rPr>
          <w:rFonts w:ascii="Tahoma" w:hAnsi="Tahoma"/>
          <w:b/>
          <w:color w:val="E2882D"/>
          <w:spacing w:val="2"/>
          <w:sz w:val="16"/>
        </w:rPr>
        <w:t> </w:t>
      </w:r>
      <w:r>
        <w:rPr>
          <w:rFonts w:ascii="Tahoma" w:hAnsi="Tahoma"/>
          <w:b/>
          <w:color w:val="E2882D"/>
          <w:spacing w:val="-5"/>
          <w:sz w:val="16"/>
        </w:rPr>
        <w:t>και</w:t>
      </w:r>
    </w:p>
    <w:p>
      <w:pPr>
        <w:spacing w:after="0"/>
        <w:jc w:val="left"/>
        <w:rPr>
          <w:rFonts w:ascii="Tahoma" w:hAnsi="Tahoma"/>
          <w:b/>
          <w:sz w:val="16"/>
        </w:rPr>
        <w:sectPr>
          <w:type w:val="continuous"/>
          <w:pgSz w:w="11920" w:h="16850"/>
          <w:pgMar w:header="639" w:footer="648" w:top="1940" w:bottom="280" w:left="283" w:right="425"/>
          <w:cols w:num="3" w:equalWidth="0">
            <w:col w:w="2908" w:space="1053"/>
            <w:col w:w="2764" w:space="834"/>
            <w:col w:w="3653"/>
          </w:cols>
        </w:sectPr>
      </w:pPr>
    </w:p>
    <w:tbl>
      <w:tblPr>
        <w:tblW w:w="0" w:type="auto"/>
        <w:jc w:val="left"/>
        <w:tblInd w:w="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6"/>
        <w:gridCol w:w="1214"/>
        <w:gridCol w:w="1202"/>
        <w:gridCol w:w="1089"/>
        <w:gridCol w:w="1214"/>
        <w:gridCol w:w="1031"/>
        <w:gridCol w:w="1184"/>
      </w:tblGrid>
      <w:tr>
        <w:trPr>
          <w:trHeight w:val="199" w:hRule="atLeast"/>
        </w:trPr>
        <w:tc>
          <w:tcPr>
            <w:tcW w:w="10340" w:type="dxa"/>
            <w:gridSpan w:val="7"/>
          </w:tcPr>
          <w:p>
            <w:pPr>
              <w:pStyle w:val="TableParagraph"/>
              <w:tabs>
                <w:tab w:pos="4212" w:val="left" w:leader="none"/>
                <w:tab w:pos="7434" w:val="left" w:leader="none"/>
              </w:tabs>
              <w:spacing w:line="180" w:lineRule="exact"/>
              <w:ind w:left="5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w w:val="90"/>
                <w:sz w:val="16"/>
              </w:rPr>
              <w:t>(εκατ.</w:t>
            </w:r>
            <w:r>
              <w:rPr>
                <w:rFonts w:ascii="Tahoma" w:hAnsi="Tahoma"/>
                <w:b/>
                <w:color w:val="E2882D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5"/>
                <w:sz w:val="16"/>
              </w:rPr>
              <w:t>€)</w:t>
            </w:r>
            <w:r>
              <w:rPr>
                <w:rFonts w:ascii="Tahoma" w:hAnsi="Tahoma"/>
                <w:b/>
                <w:color w:val="E2882D"/>
                <w:sz w:val="16"/>
              </w:rPr>
              <w:tab/>
            </w:r>
            <w:r>
              <w:rPr>
                <w:rFonts w:ascii="Tahoma" w:hAnsi="Tahoma"/>
                <w:b/>
                <w:color w:val="E2882D"/>
                <w:w w:val="95"/>
                <w:sz w:val="16"/>
              </w:rPr>
              <w:t>Καταστάσεων</w:t>
            </w:r>
            <w:r>
              <w:rPr>
                <w:rFonts w:ascii="Tahoma" w:hAnsi="Tahoma"/>
                <w:b/>
                <w:color w:val="E2882D"/>
                <w:spacing w:val="15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w w:val="95"/>
                <w:sz w:val="16"/>
              </w:rPr>
              <w:t>και</w:t>
            </w:r>
            <w:r>
              <w:rPr>
                <w:rFonts w:ascii="Tahoma" w:hAnsi="Tahoma"/>
                <w:b/>
                <w:color w:val="E2882D"/>
                <w:spacing w:val="17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4"/>
                <w:w w:val="95"/>
                <w:sz w:val="16"/>
              </w:rPr>
              <w:t>ΕΔΜΑ</w:t>
            </w:r>
            <w:r>
              <w:rPr>
                <w:rFonts w:ascii="Tahoma" w:hAnsi="Tahoma"/>
                <w:b/>
                <w:color w:val="E2882D"/>
                <w:sz w:val="16"/>
              </w:rPr>
              <w:tab/>
            </w:r>
            <w:r>
              <w:rPr>
                <w:rFonts w:ascii="Tahoma" w:hAnsi="Tahoma"/>
                <w:b/>
                <w:color w:val="E2882D"/>
                <w:w w:val="95"/>
                <w:sz w:val="16"/>
              </w:rPr>
              <w:t>Προσαρμοσμένων</w:t>
            </w:r>
            <w:r>
              <w:rPr>
                <w:rFonts w:ascii="Tahoma" w:hAnsi="Tahoma"/>
                <w:b/>
                <w:color w:val="E2882D"/>
                <w:spacing w:val="23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Λογαριασμών</w:t>
            </w:r>
          </w:p>
        </w:tc>
      </w:tr>
      <w:tr>
        <w:trPr>
          <w:trHeight w:val="205" w:hRule="atLeast"/>
        </w:trPr>
        <w:tc>
          <w:tcPr>
            <w:tcW w:w="34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line="180" w:lineRule="exact" w:before="5"/>
              <w:ind w:left="18" w:right="17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Λογιστικές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spacing w:line="180" w:lineRule="exact" w:before="5"/>
              <w:ind w:left="2" w:right="52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z w:val="16"/>
              </w:rPr>
              <w:t>Α’</w:t>
            </w:r>
            <w:r>
              <w:rPr>
                <w:rFonts w:ascii="Tahoma" w:hAnsi="Tahoma"/>
                <w:b/>
                <w:color w:val="E2882D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Τρίμηνο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line="180" w:lineRule="exact" w:before="5"/>
              <w:ind w:left="18" w:right="13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Λογιστικές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line="180" w:lineRule="exact" w:before="5"/>
              <w:ind w:left="260" w:right="4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z w:val="16"/>
              </w:rPr>
              <w:t>Α’</w:t>
            </w:r>
            <w:r>
              <w:rPr>
                <w:rFonts w:ascii="Tahoma" w:hAnsi="Tahoma"/>
                <w:b/>
                <w:color w:val="E2882D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Τρίμηνο</w:t>
            </w:r>
          </w:p>
        </w:tc>
      </w:tr>
      <w:tr>
        <w:trPr>
          <w:trHeight w:val="275" w:hRule="atLeast"/>
        </w:trPr>
        <w:tc>
          <w:tcPr>
            <w:tcW w:w="3406" w:type="dxa"/>
          </w:tcPr>
          <w:p>
            <w:pPr>
              <w:pStyle w:val="TableParagraph"/>
              <w:spacing w:line="192" w:lineRule="exact"/>
              <w:ind w:left="5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Β’</w:t>
            </w:r>
            <w:r>
              <w:rPr>
                <w:rFonts w:ascii="Tahoma" w:hAnsi="Tahoma"/>
                <w:b/>
                <w:color w:val="E2882D"/>
                <w:spacing w:val="-7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Τρίμηνο</w:t>
            </w:r>
            <w:r>
              <w:rPr>
                <w:rFonts w:ascii="Tahoma" w:hAnsi="Tahoma"/>
                <w:b/>
                <w:color w:val="E2882D"/>
                <w:spacing w:val="-6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4"/>
                <w:sz w:val="16"/>
              </w:rPr>
              <w:t>2026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line="192" w:lineRule="exact"/>
              <w:ind w:left="18" w:right="19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Καταστάσεις</w:t>
            </w:r>
          </w:p>
        </w:tc>
        <w:tc>
          <w:tcPr>
            <w:tcW w:w="1202" w:type="dxa"/>
          </w:tcPr>
          <w:p>
            <w:pPr>
              <w:pStyle w:val="TableParagraph"/>
              <w:spacing w:line="192" w:lineRule="exact"/>
              <w:ind w:right="53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10"/>
                <w:sz w:val="16"/>
              </w:rPr>
              <w:t>Δ</w:t>
            </w:r>
          </w:p>
        </w:tc>
        <w:tc>
          <w:tcPr>
            <w:tcW w:w="1089" w:type="dxa"/>
          </w:tcPr>
          <w:p>
            <w:pPr>
              <w:pStyle w:val="TableParagraph"/>
              <w:spacing w:line="192" w:lineRule="exact"/>
              <w:ind w:left="1" w:right="52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82D"/>
                <w:spacing w:val="-4"/>
                <w:w w:val="95"/>
                <w:sz w:val="16"/>
              </w:rPr>
              <w:t>2026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line="192" w:lineRule="exact"/>
              <w:ind w:left="18" w:right="16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Καταστάσεις</w:t>
            </w:r>
          </w:p>
        </w:tc>
        <w:tc>
          <w:tcPr>
            <w:tcW w:w="1031" w:type="dxa"/>
          </w:tcPr>
          <w:p>
            <w:pPr>
              <w:pStyle w:val="TableParagraph"/>
              <w:spacing w:line="192" w:lineRule="exact"/>
              <w:ind w:left="122" w:right="3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10"/>
                <w:sz w:val="16"/>
              </w:rPr>
              <w:t>Δ</w:t>
            </w:r>
          </w:p>
        </w:tc>
        <w:tc>
          <w:tcPr>
            <w:tcW w:w="1184" w:type="dxa"/>
          </w:tcPr>
          <w:p>
            <w:pPr>
              <w:pStyle w:val="TableParagraph"/>
              <w:spacing w:line="192" w:lineRule="exact"/>
              <w:ind w:left="260" w:right="5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82D"/>
                <w:spacing w:val="-4"/>
                <w:w w:val="95"/>
                <w:sz w:val="16"/>
              </w:rPr>
              <w:t>2026</w:t>
            </w:r>
          </w:p>
        </w:tc>
      </w:tr>
      <w:tr>
        <w:trPr>
          <w:trHeight w:val="350" w:hRule="atLeast"/>
        </w:trPr>
        <w:tc>
          <w:tcPr>
            <w:tcW w:w="3406" w:type="dxa"/>
          </w:tcPr>
          <w:p>
            <w:pPr>
              <w:pStyle w:val="TableParagraph"/>
              <w:spacing w:line="147" w:lineRule="exact"/>
              <w:ind w:left="50"/>
              <w:rPr>
                <w:sz w:val="18"/>
              </w:rPr>
            </w:pPr>
            <w:r>
              <w:rPr>
                <w:spacing w:val="-6"/>
                <w:sz w:val="18"/>
              </w:rPr>
              <w:t>Καθαρό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Έσοδο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από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6"/>
                <w:sz w:val="18"/>
              </w:rPr>
              <w:t>Τόκους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70"/>
              <w:ind w:left="18" w:right="1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436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spacing w:before="70"/>
              <w:ind w:right="5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436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70"/>
              <w:ind w:left="18" w:right="1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436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before="70"/>
              <w:ind w:left="2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436</w:t>
            </w:r>
          </w:p>
        </w:tc>
      </w:tr>
      <w:tr>
        <w:trPr>
          <w:trHeight w:val="348" w:hRule="atLeast"/>
        </w:trPr>
        <w:tc>
          <w:tcPr>
            <w:tcW w:w="3406" w:type="dxa"/>
          </w:tcPr>
          <w:p>
            <w:pPr>
              <w:pStyle w:val="TableParagraph"/>
              <w:spacing w:before="70"/>
              <w:ind w:left="50"/>
              <w:rPr>
                <w:sz w:val="18"/>
              </w:rPr>
            </w:pPr>
            <w:r>
              <w:rPr>
                <w:spacing w:val="-6"/>
                <w:sz w:val="18"/>
              </w:rPr>
              <w:t>Έσοδα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από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αμοιβές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υπηρεσιών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116"/>
              <w:ind w:left="18" w:right="1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141</w:t>
            </w:r>
          </w:p>
        </w:tc>
        <w:tc>
          <w:tcPr>
            <w:tcW w:w="1202" w:type="dxa"/>
          </w:tcPr>
          <w:p>
            <w:pPr>
              <w:pStyle w:val="TableParagraph"/>
              <w:spacing w:before="106"/>
              <w:ind w:left="3" w:right="5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20352">
                      <wp:simplePos x="0" y="0"/>
                      <wp:positionH relativeFrom="column">
                        <wp:posOffset>463169</wp:posOffset>
                      </wp:positionH>
                      <wp:positionV relativeFrom="paragraph">
                        <wp:posOffset>78001</wp:posOffset>
                      </wp:positionV>
                      <wp:extent cx="441959" cy="542925"/>
                      <wp:effectExtent l="0" t="0" r="0" b="0"/>
                      <wp:wrapNone/>
                      <wp:docPr id="248" name="Group 2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8" name="Group 248"/>
                            <wpg:cNvGrpSpPr/>
                            <wpg:grpSpPr>
                              <a:xfrm>
                                <a:off x="0" y="0"/>
                                <a:ext cx="441959" cy="542925"/>
                                <a:chExt cx="441959" cy="542925"/>
                              </a:xfrm>
                            </wpg:grpSpPr>
                            <pic:pic>
                              <pic:nvPicPr>
                                <pic:cNvPr id="249" name="Image 249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019" y="466470"/>
                                  <a:ext cx="254000" cy="7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300672" y="27051"/>
                                  <a:ext cx="1270" cy="50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504190">
                                      <a:moveTo>
                                        <a:pt x="0" y="50419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A5A5A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0"/>
                                  <a:ext cx="32385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76200">
                                      <a:moveTo>
                                        <a:pt x="76200" y="0"/>
                                      </a:moveTo>
                                      <a:lnTo>
                                        <a:pt x="0" y="38100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76200" y="42925"/>
                                      </a:lnTo>
                                      <a:lnTo>
                                        <a:pt x="63500" y="42925"/>
                                      </a:lnTo>
                                      <a:lnTo>
                                        <a:pt x="63500" y="33400"/>
                                      </a:lnTo>
                                      <a:lnTo>
                                        <a:pt x="76200" y="3340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  <a:path w="323850" h="76200">
                                      <a:moveTo>
                                        <a:pt x="76200" y="33400"/>
                                      </a:moveTo>
                                      <a:lnTo>
                                        <a:pt x="63500" y="33400"/>
                                      </a:lnTo>
                                      <a:lnTo>
                                        <a:pt x="63500" y="42925"/>
                                      </a:lnTo>
                                      <a:lnTo>
                                        <a:pt x="76200" y="42925"/>
                                      </a:lnTo>
                                      <a:lnTo>
                                        <a:pt x="76200" y="33400"/>
                                      </a:lnTo>
                                      <a:close/>
                                    </a:path>
                                    <a:path w="323850" h="76200">
                                      <a:moveTo>
                                        <a:pt x="323850" y="33400"/>
                                      </a:moveTo>
                                      <a:lnTo>
                                        <a:pt x="76200" y="33400"/>
                                      </a:lnTo>
                                      <a:lnTo>
                                        <a:pt x="76200" y="42925"/>
                                      </a:lnTo>
                                      <a:lnTo>
                                        <a:pt x="323850" y="42925"/>
                                      </a:lnTo>
                                      <a:lnTo>
                                        <a:pt x="323850" y="33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52" name="Image 252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60" y="252095"/>
                                  <a:ext cx="431800" cy="85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.470001pt;margin-top:6.141875pt;width:34.8pt;height:42.75pt;mso-position-horizontal-relative:column;mso-position-vertical-relative:paragraph;z-index:-18096128" id="docshapegroup226" coordorigin="729,123" coordsize="696,855">
                      <v:shape style="position:absolute;left:781;top:857;width:400;height:120" type="#_x0000_t75" id="docshape227" stroked="false">
                        <v:imagedata r:id="rId24" o:title=""/>
                      </v:shape>
                      <v:line style="position:absolute" from="1203,959" to="1203,165" stroked="true" strokeweight=".74997pt" strokecolor="#a5a5a5">
                        <v:stroke dashstyle="solid"/>
                      </v:line>
                      <v:shape style="position:absolute;left:729;top:122;width:510;height:120" id="docshape228" coordorigin="729,123" coordsize="510,120" path="m849,123l729,183,849,243,849,190,829,190,829,175,849,175,849,123xm849,175l829,175,829,190,849,190,849,175xm1239,175l849,175,849,190,1239,190,1239,175xe" filled="true" fillcolor="#a6a6a6" stroked="false">
                        <v:path arrowok="t"/>
                        <v:fill type="solid"/>
                      </v:shape>
                      <v:shape style="position:absolute;left:745;top:519;width:680;height:135" type="#_x0000_t75" id="docshape229" stroked="false">
                        <v:imagedata r:id="rId2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18"/>
              </w:rPr>
              <w:t>46</w:t>
            </w:r>
          </w:p>
        </w:tc>
        <w:tc>
          <w:tcPr>
            <w:tcW w:w="1089" w:type="dxa"/>
          </w:tcPr>
          <w:p>
            <w:pPr>
              <w:pStyle w:val="TableParagraph"/>
              <w:spacing w:before="72"/>
              <w:ind w:right="5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187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116"/>
              <w:ind w:left="18" w:right="1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187</w:t>
            </w:r>
          </w:p>
        </w:tc>
        <w:tc>
          <w:tcPr>
            <w:tcW w:w="1031" w:type="dxa"/>
          </w:tcPr>
          <w:p>
            <w:pPr>
              <w:pStyle w:val="TableParagraph"/>
              <w:spacing w:before="116"/>
              <w:ind w:left="122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(46)</w:t>
            </w:r>
          </w:p>
        </w:tc>
        <w:tc>
          <w:tcPr>
            <w:tcW w:w="1184" w:type="dxa"/>
          </w:tcPr>
          <w:p>
            <w:pPr>
              <w:pStyle w:val="TableParagraph"/>
              <w:spacing w:before="116"/>
              <w:ind w:left="2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141</w:t>
            </w:r>
          </w:p>
        </w:tc>
      </w:tr>
      <w:tr>
        <w:trPr>
          <w:trHeight w:val="443" w:hRule="atLeast"/>
        </w:trPr>
        <w:tc>
          <w:tcPr>
            <w:tcW w:w="3406" w:type="dxa"/>
          </w:tcPr>
          <w:p>
            <w:pPr>
              <w:pStyle w:val="TableParagraph"/>
              <w:spacing w:before="22"/>
              <w:ind w:left="50"/>
              <w:rPr>
                <w:sz w:val="18"/>
              </w:rPr>
            </w:pPr>
            <w:r>
              <w:rPr>
                <w:w w:val="90"/>
                <w:sz w:val="18"/>
              </w:rPr>
              <w:t>Αποτελέσματα</w:t>
            </w:r>
            <w:r>
              <w:rPr>
                <w:spacing w:val="27"/>
                <w:sz w:val="18"/>
              </w:rPr>
              <w:t> </w:t>
            </w:r>
            <w:r>
              <w:rPr>
                <w:w w:val="90"/>
                <w:sz w:val="18"/>
              </w:rPr>
              <w:t>Χρημ/κών</w:t>
            </w:r>
            <w:r>
              <w:rPr>
                <w:spacing w:val="2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Πράξεων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130"/>
              <w:ind w:left="18" w:right="1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(69)</w:t>
            </w:r>
          </w:p>
        </w:tc>
        <w:tc>
          <w:tcPr>
            <w:tcW w:w="1202" w:type="dxa"/>
          </w:tcPr>
          <w:p>
            <w:pPr>
              <w:pStyle w:val="TableParagraph"/>
              <w:spacing w:before="130"/>
              <w:ind w:left="3" w:right="5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55</w:t>
            </w:r>
          </w:p>
        </w:tc>
        <w:tc>
          <w:tcPr>
            <w:tcW w:w="1089" w:type="dxa"/>
          </w:tcPr>
          <w:p>
            <w:pPr>
              <w:pStyle w:val="TableParagraph"/>
              <w:spacing w:before="16"/>
              <w:rPr>
                <w:rFonts w:ascii="Tahoma"/>
                <w:b/>
                <w:sz w:val="18"/>
              </w:rPr>
            </w:pPr>
          </w:p>
          <w:p>
            <w:pPr>
              <w:pStyle w:val="TableParagraph"/>
              <w:spacing w:line="191" w:lineRule="exact"/>
              <w:ind w:right="5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(15)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130"/>
              <w:ind w:left="18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(15)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before="130"/>
              <w:ind w:left="26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(15)</w:t>
            </w:r>
          </w:p>
        </w:tc>
      </w:tr>
      <w:tr>
        <w:trPr>
          <w:trHeight w:val="263" w:hRule="atLeast"/>
        </w:trPr>
        <w:tc>
          <w:tcPr>
            <w:tcW w:w="340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4"/>
                <w:sz w:val="18"/>
              </w:rPr>
              <w:t>Λοιπά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Έσοδα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36"/>
              <w:ind w:left="18" w:right="1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64</w:t>
            </w:r>
          </w:p>
        </w:tc>
        <w:tc>
          <w:tcPr>
            <w:tcW w:w="1202" w:type="dxa"/>
          </w:tcPr>
          <w:p>
            <w:pPr>
              <w:pStyle w:val="TableParagraph"/>
              <w:spacing w:before="36"/>
              <w:ind w:left="1" w:right="5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(46)</w:t>
            </w:r>
          </w:p>
        </w:tc>
        <w:tc>
          <w:tcPr>
            <w:tcW w:w="1089" w:type="dxa"/>
          </w:tcPr>
          <w:p>
            <w:pPr>
              <w:pStyle w:val="TableParagraph"/>
              <w:spacing w:before="36"/>
              <w:ind w:right="5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19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36"/>
              <w:ind w:left="18" w:right="1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19</w:t>
            </w:r>
          </w:p>
        </w:tc>
        <w:tc>
          <w:tcPr>
            <w:tcW w:w="1031" w:type="dxa"/>
          </w:tcPr>
          <w:p>
            <w:pPr>
              <w:pStyle w:val="TableParagraph"/>
              <w:spacing w:before="36"/>
              <w:ind w:left="12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46</w:t>
            </w:r>
          </w:p>
        </w:tc>
        <w:tc>
          <w:tcPr>
            <w:tcW w:w="1184" w:type="dxa"/>
          </w:tcPr>
          <w:p>
            <w:pPr>
              <w:pStyle w:val="TableParagraph"/>
              <w:spacing w:before="36"/>
              <w:ind w:left="26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64</w:t>
            </w:r>
          </w:p>
        </w:tc>
      </w:tr>
      <w:tr>
        <w:trPr>
          <w:trHeight w:val="295" w:hRule="atLeast"/>
        </w:trPr>
        <w:tc>
          <w:tcPr>
            <w:tcW w:w="3406" w:type="dxa"/>
          </w:tcPr>
          <w:p>
            <w:pPr>
              <w:pStyle w:val="TableParagraph"/>
              <w:spacing w:before="18"/>
              <w:ind w:left="5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Λειτουργικά Έσοδα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63"/>
              <w:ind w:left="18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573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spacing w:before="63"/>
              <w:ind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627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63"/>
              <w:ind w:left="18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627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before="63"/>
              <w:ind w:left="26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627</w:t>
            </w:r>
          </w:p>
        </w:tc>
      </w:tr>
      <w:tr>
        <w:trPr>
          <w:trHeight w:val="300" w:hRule="atLeast"/>
        </w:trPr>
        <w:tc>
          <w:tcPr>
            <w:tcW w:w="3406" w:type="dxa"/>
          </w:tcPr>
          <w:p>
            <w:pPr>
              <w:pStyle w:val="TableParagraph"/>
              <w:spacing w:before="22"/>
              <w:ind w:left="50"/>
              <w:rPr>
                <w:sz w:val="18"/>
              </w:rPr>
            </w:pPr>
            <w:r>
              <w:rPr>
                <w:spacing w:val="-4"/>
                <w:sz w:val="18"/>
              </w:rPr>
              <w:t>Αμοιβές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και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Έξοδα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Προσωπικού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68"/>
              <w:ind w:left="18" w:right="1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(117)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spacing w:before="68"/>
              <w:ind w:right="5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(117)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68"/>
              <w:ind w:left="18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(117)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before="68"/>
              <w:ind w:left="260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(117)</w:t>
            </w:r>
          </w:p>
        </w:tc>
      </w:tr>
      <w:tr>
        <w:trPr>
          <w:trHeight w:val="300" w:hRule="atLeast"/>
        </w:trPr>
        <w:tc>
          <w:tcPr>
            <w:tcW w:w="3406" w:type="dxa"/>
          </w:tcPr>
          <w:p>
            <w:pPr>
              <w:pStyle w:val="TableParagraph"/>
              <w:spacing w:before="22"/>
              <w:ind w:left="50"/>
              <w:rPr>
                <w:sz w:val="18"/>
              </w:rPr>
            </w:pPr>
            <w:r>
              <w:rPr>
                <w:spacing w:val="-6"/>
                <w:sz w:val="18"/>
              </w:rPr>
              <w:t>Γενικά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Διοικητικά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Έξοδα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68"/>
              <w:ind w:left="18" w:right="1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(86)</w:t>
            </w:r>
          </w:p>
        </w:tc>
        <w:tc>
          <w:tcPr>
            <w:tcW w:w="1202" w:type="dxa"/>
          </w:tcPr>
          <w:p>
            <w:pPr>
              <w:pStyle w:val="TableParagraph"/>
              <w:spacing w:before="68"/>
              <w:ind w:left="2" w:right="5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20864">
                      <wp:simplePos x="0" y="0"/>
                      <wp:positionH relativeFrom="column">
                        <wp:posOffset>470154</wp:posOffset>
                      </wp:positionH>
                      <wp:positionV relativeFrom="paragraph">
                        <wp:posOffset>80034</wp:posOffset>
                      </wp:positionV>
                      <wp:extent cx="323850" cy="692785"/>
                      <wp:effectExtent l="0" t="0" r="0" b="0"/>
                      <wp:wrapNone/>
                      <wp:docPr id="253" name="Group 2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3" name="Group 253"/>
                            <wpg:cNvGrpSpPr/>
                            <wpg:grpSpPr>
                              <a:xfrm>
                                <a:off x="0" y="0"/>
                                <a:ext cx="323850" cy="692785"/>
                                <a:chExt cx="323850" cy="692785"/>
                              </a:xfrm>
                            </wpg:grpSpPr>
                            <pic:pic>
                              <pic:nvPicPr>
                                <pic:cNvPr id="254" name="Image 25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" y="0"/>
                                  <a:ext cx="295275" cy="85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301942" y="61340"/>
                                  <a:ext cx="1270" cy="611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11505">
                                      <a:moveTo>
                                        <a:pt x="0" y="6115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A5A5A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0" y="616204"/>
                                  <a:ext cx="32385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50" h="76200">
                                      <a:moveTo>
                                        <a:pt x="76200" y="0"/>
                                      </a:moveTo>
                                      <a:lnTo>
                                        <a:pt x="0" y="38100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76200" y="42925"/>
                                      </a:lnTo>
                                      <a:lnTo>
                                        <a:pt x="63500" y="42925"/>
                                      </a:lnTo>
                                      <a:lnTo>
                                        <a:pt x="63500" y="33400"/>
                                      </a:lnTo>
                                      <a:lnTo>
                                        <a:pt x="76200" y="3340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  <a:path w="323850" h="76200">
                                      <a:moveTo>
                                        <a:pt x="76200" y="33400"/>
                                      </a:moveTo>
                                      <a:lnTo>
                                        <a:pt x="63500" y="33400"/>
                                      </a:lnTo>
                                      <a:lnTo>
                                        <a:pt x="63500" y="42925"/>
                                      </a:lnTo>
                                      <a:lnTo>
                                        <a:pt x="76200" y="42925"/>
                                      </a:lnTo>
                                      <a:lnTo>
                                        <a:pt x="76200" y="33400"/>
                                      </a:lnTo>
                                      <a:close/>
                                    </a:path>
                                    <a:path w="323850" h="76200">
                                      <a:moveTo>
                                        <a:pt x="323850" y="33400"/>
                                      </a:moveTo>
                                      <a:lnTo>
                                        <a:pt x="76200" y="33400"/>
                                      </a:lnTo>
                                      <a:lnTo>
                                        <a:pt x="76200" y="42925"/>
                                      </a:lnTo>
                                      <a:lnTo>
                                        <a:pt x="323850" y="42925"/>
                                      </a:lnTo>
                                      <a:lnTo>
                                        <a:pt x="323850" y="33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7.020pt;margin-top:6.301921pt;width:25.5pt;height:54.55pt;mso-position-horizontal-relative:column;mso-position-vertical-relative:paragraph;z-index:-18095616" id="docshapegroup230" coordorigin="740,126" coordsize="510,1091">
                      <v:shape style="position:absolute;left:764;top:126;width:465;height:135" type="#_x0000_t75" id="docshape231" stroked="false">
                        <v:imagedata r:id="rId26" o:title=""/>
                      </v:shape>
                      <v:line style="position:absolute" from="1216,1186" to="1216,223" stroked="true" strokeweight=".74997pt" strokecolor="#a5a5a5">
                        <v:stroke dashstyle="solid"/>
                      </v:line>
                      <v:shape style="position:absolute;left:740;top:1096;width:510;height:120" id="docshape232" coordorigin="740,1096" coordsize="510,120" path="m860,1096l740,1156,860,1216,860,1164,840,1164,840,1149,860,1149,860,1096xm860,1149l840,1149,840,1164,860,1164,860,1149xm1250,1149l860,1149,860,1164,1250,1164,1250,1149xe" filled="true" fillcolor="#a6a6a6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1089" w:type="dxa"/>
          </w:tcPr>
          <w:p>
            <w:pPr>
              <w:pStyle w:val="TableParagraph"/>
              <w:spacing w:before="68"/>
              <w:ind w:right="5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(85)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68"/>
              <w:ind w:left="18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(85)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before="68"/>
              <w:ind w:left="26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(85)</w:t>
            </w:r>
          </w:p>
        </w:tc>
      </w:tr>
      <w:tr>
        <w:trPr>
          <w:trHeight w:val="252" w:hRule="atLeast"/>
        </w:trPr>
        <w:tc>
          <w:tcPr>
            <w:tcW w:w="3406" w:type="dxa"/>
          </w:tcPr>
          <w:p>
            <w:pPr>
              <w:pStyle w:val="TableParagraph"/>
              <w:spacing w:line="210" w:lineRule="exact" w:before="22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Αποσβέσεις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line="198" w:lineRule="exact" w:before="34"/>
              <w:ind w:left="18" w:right="1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(38)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spacing w:before="25"/>
              <w:ind w:right="5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(38)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line="198" w:lineRule="exact" w:before="34"/>
              <w:ind w:left="18" w:right="1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(38)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line="198" w:lineRule="exact" w:before="34"/>
              <w:ind w:left="260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(38)</w:t>
            </w:r>
          </w:p>
        </w:tc>
      </w:tr>
      <w:tr>
        <w:trPr>
          <w:trHeight w:val="453" w:hRule="atLeast"/>
        </w:trPr>
        <w:tc>
          <w:tcPr>
            <w:tcW w:w="3406" w:type="dxa"/>
          </w:tcPr>
          <w:p>
            <w:pPr>
              <w:pStyle w:val="TableParagraph"/>
              <w:spacing w:line="224" w:lineRule="exact"/>
              <w:ind w:left="5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Επαναλαμβανόμενα</w:t>
            </w:r>
            <w:r>
              <w:rPr>
                <w:rFonts w:ascii="Tahoma" w:hAnsi="Tahoma"/>
                <w:b/>
                <w:spacing w:val="-12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Λειτουργικά </w:t>
            </w:r>
            <w:r>
              <w:rPr>
                <w:rFonts w:ascii="Tahoma" w:hAnsi="Tahoma"/>
                <w:b/>
                <w:spacing w:val="-4"/>
                <w:sz w:val="18"/>
              </w:rPr>
              <w:t>Έξοδα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123"/>
              <w:ind w:left="18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(241)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spacing w:before="123"/>
              <w:ind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(240)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123"/>
              <w:ind w:left="18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(240)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before="123"/>
              <w:ind w:left="26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(240)</w:t>
            </w:r>
          </w:p>
        </w:tc>
      </w:tr>
      <w:tr>
        <w:trPr>
          <w:trHeight w:val="266" w:hRule="atLeast"/>
        </w:trPr>
        <w:tc>
          <w:tcPr>
            <w:tcW w:w="340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7"/>
                <w:sz w:val="18"/>
              </w:rPr>
              <w:t>Εξαιρούμενα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Κονδύλια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39"/>
              <w:ind w:left="18" w:right="1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202" w:type="dxa"/>
          </w:tcPr>
          <w:p>
            <w:pPr>
              <w:pStyle w:val="TableParagraph"/>
              <w:spacing w:before="5"/>
              <w:ind w:left="2" w:right="5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(1)</w:t>
            </w:r>
          </w:p>
        </w:tc>
        <w:tc>
          <w:tcPr>
            <w:tcW w:w="1089" w:type="dxa"/>
          </w:tcPr>
          <w:p>
            <w:pPr>
              <w:pStyle w:val="TableParagraph"/>
              <w:spacing w:before="39"/>
              <w:ind w:right="5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(1)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39"/>
              <w:ind w:left="18" w:right="1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(1)</w:t>
            </w:r>
          </w:p>
        </w:tc>
        <w:tc>
          <w:tcPr>
            <w:tcW w:w="1031" w:type="dxa"/>
          </w:tcPr>
          <w:p>
            <w:pPr>
              <w:pStyle w:val="TableParagraph"/>
              <w:spacing w:before="39"/>
              <w:ind w:left="122" w:right="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1184" w:type="dxa"/>
          </w:tcPr>
          <w:p>
            <w:pPr>
              <w:pStyle w:val="TableParagraph"/>
              <w:spacing w:before="39"/>
              <w:ind w:left="260" w:right="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>
        <w:trPr>
          <w:trHeight w:val="290" w:hRule="atLeast"/>
        </w:trPr>
        <w:tc>
          <w:tcPr>
            <w:tcW w:w="3406" w:type="dxa"/>
          </w:tcPr>
          <w:p>
            <w:pPr>
              <w:pStyle w:val="TableParagraph"/>
              <w:spacing w:before="18"/>
              <w:ind w:left="5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Συνολικά</w:t>
            </w:r>
            <w:r>
              <w:rPr>
                <w:rFonts w:ascii="Tahoma" w:hAnsi="Tahoma"/>
                <w:b/>
                <w:spacing w:val="-4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Λειτουργικά</w:t>
            </w:r>
            <w:r>
              <w:rPr>
                <w:rFonts w:ascii="Tahoma" w:hAnsi="Tahoma"/>
                <w:b/>
                <w:spacing w:val="-5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Έξοδα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63"/>
              <w:ind w:left="18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(241)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spacing w:before="63"/>
              <w:ind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(241)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63"/>
              <w:ind w:left="18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(241)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before="63"/>
              <w:ind w:left="26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(240)</w:t>
            </w:r>
          </w:p>
        </w:tc>
      </w:tr>
      <w:tr>
        <w:trPr>
          <w:trHeight w:val="290" w:hRule="atLeast"/>
        </w:trPr>
        <w:tc>
          <w:tcPr>
            <w:tcW w:w="3406" w:type="dxa"/>
          </w:tcPr>
          <w:p>
            <w:pPr>
              <w:pStyle w:val="TableParagraph"/>
              <w:spacing w:before="17"/>
              <w:ind w:left="50"/>
              <w:rPr>
                <w:b/>
                <w:i/>
                <w:sz w:val="19"/>
              </w:rPr>
            </w:pPr>
            <w:r>
              <w:rPr>
                <w:b/>
                <w:i/>
                <w:w w:val="80"/>
                <w:sz w:val="19"/>
              </w:rPr>
              <w:t>Κύριο</w:t>
            </w:r>
            <w:r>
              <w:rPr>
                <w:b/>
                <w:i/>
                <w:spacing w:val="1"/>
                <w:sz w:val="19"/>
              </w:rPr>
              <w:t> </w:t>
            </w:r>
            <w:r>
              <w:rPr>
                <w:b/>
                <w:i/>
                <w:w w:val="80"/>
                <w:sz w:val="19"/>
              </w:rPr>
              <w:t>Αποτέλεσμα</w:t>
            </w:r>
            <w:r>
              <w:rPr>
                <w:b/>
                <w:i/>
                <w:spacing w:val="2"/>
                <w:sz w:val="19"/>
              </w:rPr>
              <w:t> </w:t>
            </w:r>
            <w:r>
              <w:rPr>
                <w:b/>
                <w:i/>
                <w:w w:val="80"/>
                <w:sz w:val="19"/>
              </w:rPr>
              <w:t>προ</w:t>
            </w:r>
            <w:r>
              <w:rPr>
                <w:b/>
                <w:i/>
                <w:spacing w:val="2"/>
                <w:sz w:val="19"/>
              </w:rPr>
              <w:t> </w:t>
            </w:r>
            <w:r>
              <w:rPr>
                <w:b/>
                <w:i/>
                <w:spacing w:val="-2"/>
                <w:w w:val="80"/>
                <w:sz w:val="19"/>
              </w:rPr>
              <w:t>Προβλέψεων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63"/>
              <w:ind w:left="18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401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spacing w:before="63"/>
              <w:ind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402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before="63"/>
              <w:ind w:left="18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402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before="63"/>
              <w:ind w:left="26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402</w:t>
            </w:r>
          </w:p>
        </w:tc>
      </w:tr>
      <w:tr>
        <w:trPr>
          <w:trHeight w:val="270" w:hRule="atLeast"/>
        </w:trPr>
        <w:tc>
          <w:tcPr>
            <w:tcW w:w="3406" w:type="dxa"/>
          </w:tcPr>
          <w:p>
            <w:pPr>
              <w:pStyle w:val="TableParagraph"/>
              <w:spacing w:before="18"/>
              <w:ind w:left="5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4"/>
                <w:sz w:val="18"/>
              </w:rPr>
              <w:t>Αποτέλεσμα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προ</w:t>
            </w:r>
            <w:r>
              <w:rPr>
                <w:rFonts w:ascii="Tahoma" w:hAnsi="Tahoma"/>
                <w:b/>
                <w:spacing w:val="-1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Προβλέψεων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line="187" w:lineRule="exact" w:before="63"/>
              <w:ind w:left="18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332</w:t>
            </w:r>
          </w:p>
        </w:tc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9" w:type="dxa"/>
          </w:tcPr>
          <w:p>
            <w:pPr>
              <w:pStyle w:val="TableParagraph"/>
              <w:spacing w:line="187" w:lineRule="exact" w:before="63"/>
              <w:ind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386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line="187" w:lineRule="exact" w:before="63"/>
              <w:ind w:left="18" w:righ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386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line="187" w:lineRule="exact" w:before="63"/>
              <w:ind w:left="26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388</w:t>
            </w:r>
          </w:p>
        </w:tc>
      </w:tr>
      <w:tr>
        <w:trPr>
          <w:trHeight w:val="379" w:hRule="atLeast"/>
        </w:trPr>
        <w:tc>
          <w:tcPr>
            <w:tcW w:w="3406" w:type="dxa"/>
          </w:tcPr>
          <w:p>
            <w:pPr>
              <w:pStyle w:val="TableParagraph"/>
              <w:spacing w:before="48"/>
              <w:ind w:left="5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Ζημίες</w:t>
            </w:r>
            <w:r>
              <w:rPr>
                <w:rFonts w:ascii="Tahoma" w:hAnsi="Tahoma"/>
                <w:b/>
                <w:spacing w:val="-8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Απομείωσης</w:t>
            </w:r>
            <w:r>
              <w:rPr>
                <w:rFonts w:ascii="Tahoma" w:hAnsi="Tahoma"/>
                <w:b/>
                <w:spacing w:val="-8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για</w:t>
            </w:r>
            <w:r>
              <w:rPr>
                <w:rFonts w:ascii="Tahoma" w:hAnsi="Tahoma"/>
                <w:b/>
                <w:spacing w:val="-8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την</w:t>
            </w:r>
            <w:r>
              <w:rPr>
                <w:rFonts w:ascii="Tahoma" w:hAnsi="Tahoma"/>
                <w:b/>
                <w:spacing w:val="-10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κάλυψη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line="187" w:lineRule="exact" w:before="172"/>
              <w:ind w:left="18" w:right="1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91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27456</wp:posOffset>
                      </wp:positionV>
                      <wp:extent cx="771525" cy="288290"/>
                      <wp:effectExtent l="0" t="0" r="0" b="0"/>
                      <wp:wrapNone/>
                      <wp:docPr id="257" name="Group 2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7" name="Group 257"/>
                            <wpg:cNvGrpSpPr/>
                            <wpg:grpSpPr>
                              <a:xfrm>
                                <a:off x="0" y="0"/>
                                <a:ext cx="771525" cy="288290"/>
                                <a:chExt cx="771525" cy="288290"/>
                              </a:xfrm>
                            </wpg:grpSpPr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0" y="0"/>
                                  <a:ext cx="77152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1525" h="288290">
                                      <a:moveTo>
                                        <a:pt x="771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771144" y="288036"/>
                                      </a:lnTo>
                                      <a:lnTo>
                                        <a:pt x="771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2.161907pt;width:60.75pt;height:22.7pt;mso-position-horizontal-relative:column;mso-position-vertical-relative:paragraph;z-index:15749120" id="docshapegroup233" coordorigin="0,43" coordsize="1215,454">
                      <v:rect style="position:absolute;left:0;top:43;width:1215;height:454" id="docshape234" filled="true" fillcolor="#c5d9f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8"/>
              </w:rPr>
              <w:t>(67)</w:t>
            </w:r>
          </w:p>
        </w:tc>
        <w:tc>
          <w:tcPr>
            <w:tcW w:w="1202" w:type="dxa"/>
          </w:tcPr>
          <w:p>
            <w:pPr>
              <w:pStyle w:val="TableParagraph"/>
              <w:spacing w:line="187" w:lineRule="exact" w:before="172"/>
              <w:ind w:left="3" w:right="5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23</w:t>
            </w:r>
          </w:p>
        </w:tc>
        <w:tc>
          <w:tcPr>
            <w:tcW w:w="1089" w:type="dxa"/>
          </w:tcPr>
          <w:p>
            <w:pPr>
              <w:pStyle w:val="TableParagraph"/>
              <w:spacing w:line="187" w:lineRule="exact" w:before="172"/>
              <w:ind w:right="5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(44)</w:t>
            </w:r>
          </w:p>
        </w:tc>
        <w:tc>
          <w:tcPr>
            <w:tcW w:w="1214" w:type="dxa"/>
            <w:shd w:val="clear" w:color="auto" w:fill="C5D9F0"/>
          </w:tcPr>
          <w:p>
            <w:pPr>
              <w:pStyle w:val="TableParagraph"/>
              <w:spacing w:line="187" w:lineRule="exact" w:before="172"/>
              <w:ind w:left="18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96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27456</wp:posOffset>
                      </wp:positionV>
                      <wp:extent cx="771525" cy="288290"/>
                      <wp:effectExtent l="0" t="0" r="0" b="0"/>
                      <wp:wrapNone/>
                      <wp:docPr id="259" name="Group 2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9" name="Group 259"/>
                            <wpg:cNvGrpSpPr/>
                            <wpg:grpSpPr>
                              <a:xfrm>
                                <a:off x="0" y="0"/>
                                <a:ext cx="771525" cy="288290"/>
                                <a:chExt cx="771525" cy="288290"/>
                              </a:xfrm>
                            </wpg:grpSpPr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0" y="0"/>
                                  <a:ext cx="77152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1525" h="288290">
                                      <a:moveTo>
                                        <a:pt x="7714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771448" y="288036"/>
                                      </a:lnTo>
                                      <a:lnTo>
                                        <a:pt x="7714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2.161907pt;width:60.75pt;height:22.7pt;mso-position-horizontal-relative:column;mso-position-vertical-relative:paragraph;z-index:15749632" id="docshapegroup235" coordorigin="0,43" coordsize="1215,454">
                      <v:rect style="position:absolute;left:0;top:43;width:1215;height:454" id="docshape236" filled="true" fillcolor="#c5d9f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8"/>
              </w:rPr>
              <w:t>(44)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line="187" w:lineRule="exact" w:before="172"/>
              <w:ind w:left="260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(44)</w:t>
            </w:r>
          </w:p>
        </w:tc>
      </w:tr>
    </w:tbl>
    <w:p>
      <w:pPr>
        <w:pStyle w:val="BodyText"/>
        <w:spacing w:before="9"/>
        <w:rPr>
          <w:rFonts w:ascii="Tahoma"/>
          <w:b/>
          <w:sz w:val="10"/>
        </w:rPr>
      </w:pPr>
    </w:p>
    <w:p>
      <w:pPr>
        <w:tabs>
          <w:tab w:pos="7288" w:val="left" w:leader="none"/>
        </w:tabs>
        <w:spacing w:line="240" w:lineRule="auto"/>
        <w:ind w:left="3781" w:right="0" w:firstLine="0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771525" cy="762000"/>
                <wp:effectExtent l="0" t="0" r="0" b="0"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771525" cy="762000"/>
                          <a:chExt cx="771525" cy="76200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0"/>
                            <a:ext cx="771525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762000">
                                <a:moveTo>
                                  <a:pt x="771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762000"/>
                                </a:lnTo>
                                <a:lnTo>
                                  <a:pt x="771144" y="762000"/>
                                </a:lnTo>
                                <a:lnTo>
                                  <a:pt x="771144" y="571500"/>
                                </a:lnTo>
                                <a:lnTo>
                                  <a:pt x="771144" y="381000"/>
                                </a:lnTo>
                                <a:lnTo>
                                  <a:pt x="771144" y="190500"/>
                                </a:lnTo>
                                <a:lnTo>
                                  <a:pt x="771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75pt;height:60pt;mso-position-horizontal-relative:char;mso-position-vertical-relative:line" id="docshapegroup237" coordorigin="0,0" coordsize="1215,1200">
                <v:shape style="position:absolute;left:0;top:0;width:1215;height:1200" id="docshape238" coordorigin="0,0" coordsize="1215,1200" path="m1214,0l0,0,0,300,0,600,0,900,0,1200,1214,1200,1214,900,1214,600,1214,300,1214,0xe" filled="true" fillcolor="#c5d9f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ahoma"/>
          <w:sz w:val="20"/>
        </w:rPr>
      </w:r>
      <w:r>
        <w:rPr>
          <w:rFonts w:ascii="Tahoma"/>
          <w:sz w:val="20"/>
        </w:rPr>
        <w:tab/>
      </w: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771525" cy="762000"/>
                <wp:effectExtent l="0" t="0" r="0" b="0"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771525" cy="762000"/>
                          <a:chExt cx="771525" cy="762000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0" y="0"/>
                            <a:ext cx="771525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762000">
                                <a:moveTo>
                                  <a:pt x="771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762000"/>
                                </a:lnTo>
                                <a:lnTo>
                                  <a:pt x="771448" y="762000"/>
                                </a:lnTo>
                                <a:lnTo>
                                  <a:pt x="771448" y="571500"/>
                                </a:lnTo>
                                <a:lnTo>
                                  <a:pt x="771448" y="381000"/>
                                </a:lnTo>
                                <a:lnTo>
                                  <a:pt x="771448" y="190500"/>
                                </a:lnTo>
                                <a:lnTo>
                                  <a:pt x="771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75pt;height:60pt;mso-position-horizontal-relative:char;mso-position-vertical-relative:line" id="docshapegroup239" coordorigin="0,0" coordsize="1215,1200">
                <v:shape style="position:absolute;left:0;top:0;width:1215;height:1200" id="docshape240" coordorigin="0,0" coordsize="1215,1200" path="m1215,0l0,0,0,300,0,600,0,900,0,1200,1215,1200,1215,900,1215,600,1215,300,1215,0xe" filled="true" fillcolor="#c5d9f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ahoma"/>
          <w:sz w:val="20"/>
        </w:rPr>
      </w:r>
    </w:p>
    <w:p>
      <w:pPr>
        <w:spacing w:after="0" w:line="240" w:lineRule="auto"/>
        <w:rPr>
          <w:rFonts w:ascii="Tahoma"/>
          <w:sz w:val="20"/>
        </w:rPr>
        <w:sectPr>
          <w:type w:val="continuous"/>
          <w:pgSz w:w="11920" w:h="16850"/>
          <w:pgMar w:header="639" w:footer="648" w:top="1940" w:bottom="280" w:left="283" w:right="425"/>
        </w:sectPr>
      </w:pPr>
    </w:p>
    <w:p>
      <w:pPr>
        <w:pStyle w:val="BodyText"/>
        <w:spacing w:line="198" w:lineRule="exact"/>
        <w:ind w:left="4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379729</wp:posOffset>
                </wp:positionH>
                <wp:positionV relativeFrom="paragraph">
                  <wp:posOffset>-919847</wp:posOffset>
                </wp:positionV>
                <wp:extent cx="6449060" cy="976630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6449060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72"/>
                              <w:gridCol w:w="1905"/>
                              <w:gridCol w:w="1754"/>
                              <w:gridCol w:w="1768"/>
                              <w:gridCol w:w="1338"/>
                            </w:tblGrid>
                            <w:tr>
                              <w:trPr>
                                <w:trHeight w:val="506" w:hRule="atLeast"/>
                              </w:trPr>
                              <w:tc>
                                <w:tcPr>
                                  <w:tcW w:w="3272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50"/>
                                    <w:rPr>
                                      <w:rFonts w:ascii="Tahoma" w:hAns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spacing w:val="-4"/>
                                      <w:sz w:val="18"/>
                                    </w:rPr>
                                    <w:t>πιστωτικού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4"/>
                                      <w:sz w:val="18"/>
                                    </w:rPr>
                                    <w:t>κινδύνου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4"/>
                                      <w:sz w:val="18"/>
                                    </w:rPr>
                                    <w:t>δανείων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o/w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Underlying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88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88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3272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o/w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servicing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8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right="539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539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3272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o/w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securitization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8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right="539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539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2" w:hRule="atLeast"/>
                              </w:trPr>
                              <w:tc>
                                <w:tcPr>
                                  <w:tcW w:w="3272" w:type="dxa"/>
                                </w:tcPr>
                                <w:p>
                                  <w:pPr>
                                    <w:pStyle w:val="TableParagraph"/>
                                    <w:spacing w:before="21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Λοιπές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Zημίες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Απομείωσης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631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right="479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479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338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right="49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9pt;margin-top:-72.428925pt;width:507.8pt;height:76.9pt;mso-position-horizontal-relative:page;mso-position-vertical-relative:paragraph;z-index:15748096" type="#_x0000_t202" id="docshape24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72"/>
                        <w:gridCol w:w="1905"/>
                        <w:gridCol w:w="1754"/>
                        <w:gridCol w:w="1768"/>
                        <w:gridCol w:w="1338"/>
                      </w:tblGrid>
                      <w:tr>
                        <w:trPr>
                          <w:trHeight w:val="506" w:hRule="atLeast"/>
                        </w:trPr>
                        <w:tc>
                          <w:tcPr>
                            <w:tcW w:w="3272" w:type="dxa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50"/>
                              <w:rPr>
                                <w:rFonts w:ascii="Tahoma" w:hAns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18"/>
                              </w:rPr>
                              <w:t>πιστωτικού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18"/>
                              </w:rPr>
                              <w:t>κινδύνου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18"/>
                              </w:rPr>
                              <w:t>δανείων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o/w</w:t>
                            </w:r>
                            <w:r>
                              <w:rPr>
                                <w:spacing w:val="-4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Underlying</w:t>
                            </w:r>
                          </w:p>
                        </w:tc>
                        <w:tc>
                          <w:tcPr>
                            <w:tcW w:w="19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54" w:type="dxa"/>
                          </w:tcPr>
                          <w:p>
                            <w:pPr>
                              <w:pStyle w:val="TableParagraph"/>
                              <w:spacing w:before="68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88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>
                            <w:pPr>
                              <w:pStyle w:val="TableParagraph"/>
                              <w:spacing w:before="68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88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3272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o/w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servicing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90"/>
                                <w:sz w:val="18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9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54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right="539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left="539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3272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o/w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securitization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19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54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right="539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left="539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2" w:hRule="atLeast"/>
                        </w:trPr>
                        <w:tc>
                          <w:tcPr>
                            <w:tcW w:w="3272" w:type="dxa"/>
                          </w:tcPr>
                          <w:p>
                            <w:pPr>
                              <w:pStyle w:val="TableParagraph"/>
                              <w:spacing w:before="21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Λοιπές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Zημίες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Απομείωσης</w:t>
                            </w:r>
                          </w:p>
                        </w:tc>
                        <w:tc>
                          <w:tcPr>
                            <w:tcW w:w="1905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left="631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754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right="479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768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left="479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338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right="49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2794380</wp:posOffset>
                </wp:positionH>
                <wp:positionV relativeFrom="paragraph">
                  <wp:posOffset>57690</wp:posOffset>
                </wp:positionV>
                <wp:extent cx="4067810" cy="3142615"/>
                <wp:effectExtent l="0" t="0" r="0" b="0"/>
                <wp:wrapNone/>
                <wp:docPr id="266" name="Textbox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Textbox 266"/>
                      <wps:cNvSpPr txBox="1"/>
                      <wps:spPr>
                        <a:xfrm>
                          <a:off x="0" y="0"/>
                          <a:ext cx="4067810" cy="3142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76"/>
                              <w:gridCol w:w="1214"/>
                              <w:gridCol w:w="1139"/>
                              <w:gridCol w:w="1182"/>
                              <w:gridCol w:w="1180"/>
                              <w:gridCol w:w="800"/>
                            </w:tblGrid>
                            <w:tr>
                              <w:trPr>
                                <w:trHeight w:val="342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6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18" w:right="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2" w:right="3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right="10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7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24"/>
                                    <w:ind w:left="16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ind w:left="18" w:right="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spacing w:before="124"/>
                                    <w:ind w:right="48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24"/>
                                    <w:ind w:left="2" w:right="3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124"/>
                                    <w:ind w:right="10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6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5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(26)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9" w:right="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right="48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" w:right="3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right="105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8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16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44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1" w:right="3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166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59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248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440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349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2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349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62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350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6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1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8" w:right="2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(143)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429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(82)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3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(82)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7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right="53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(81)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6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ind w:left="59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ind w:right="440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ind w:left="2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ind w:right="62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269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left="16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FFFF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spacing w:before="133"/>
                                    <w:ind w:left="18" w:right="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right="48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left="2" w:right="3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right="7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ind w:right="166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6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right="44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" w:right="3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right="166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0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16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FFFF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ind w:left="19" w:right="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right="489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2" w:right="3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5" w:right="7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(43)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right="166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4" w:hRule="atLeast"/>
                              </w:trPr>
                              <w:tc>
                                <w:tcPr>
                                  <w:tcW w:w="77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59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316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right="440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316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2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316</w:t>
                                  </w:r>
                                </w:p>
                              </w:tc>
                              <w:tc>
                                <w:tcPr>
                                  <w:tcW w:w="1180" w:type="dxa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5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(41)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right="62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275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029999pt;margin-top:4.542539pt;width:320.3pt;height:247.45pt;mso-position-horizontal-relative:page;mso-position-vertical-relative:paragraph;z-index:15748608" type="#_x0000_t202" id="docshape24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76"/>
                        <w:gridCol w:w="1214"/>
                        <w:gridCol w:w="1139"/>
                        <w:gridCol w:w="1182"/>
                        <w:gridCol w:w="1180"/>
                        <w:gridCol w:w="800"/>
                      </w:tblGrid>
                      <w:tr>
                        <w:trPr>
                          <w:trHeight w:val="342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3"/>
                              <w:ind w:left="16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ind w:left="18" w:right="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3"/>
                              <w:ind w:left="2" w:right="3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13"/>
                              <w:ind w:right="10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</w:tr>
                      <w:tr>
                        <w:trPr>
                          <w:trHeight w:val="457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24"/>
                              <w:ind w:left="16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spacing w:before="116"/>
                              <w:ind w:left="18" w:right="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spacing w:before="124"/>
                              <w:ind w:right="48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24"/>
                              <w:ind w:left="2" w:right="3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124"/>
                              <w:ind w:right="10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</w:tr>
                      <w:tr>
                        <w:trPr>
                          <w:trHeight w:val="486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20"/>
                              <w:ind w:left="5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(26)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9" w:right="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right="48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20"/>
                              <w:ind w:left="2" w:right="3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right="105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</w:tr>
                      <w:tr>
                        <w:trPr>
                          <w:trHeight w:val="518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2"/>
                              <w:ind w:left="16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right="44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2"/>
                              <w:ind w:left="1" w:right="3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right="166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2"/>
                              <w:ind w:left="59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248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right="440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349</w:t>
                            </w: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2"/>
                              <w:ind w:left="2" w:right="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349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right="62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350</w:t>
                            </w:r>
                          </w:p>
                        </w:tc>
                      </w:tr>
                      <w:tr>
                        <w:trPr>
                          <w:trHeight w:val="416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73"/>
                              <w:ind w:left="11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18" w:right="2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(143)</w:t>
                            </w: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right="429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(82)</w:t>
                            </w: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73"/>
                              <w:ind w:right="3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(82)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right="7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right="53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(81)</w:t>
                            </w:r>
                          </w:p>
                        </w:tc>
                      </w:tr>
                      <w:tr>
                        <w:trPr>
                          <w:trHeight w:val="476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30"/>
                              <w:ind w:left="59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spacing w:before="130"/>
                              <w:ind w:right="440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30"/>
                              <w:ind w:left="2" w:right="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130"/>
                              <w:ind w:right="62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269</w:t>
                            </w: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48"/>
                              <w:ind w:left="16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color w:val="FFFFFF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spacing w:before="133"/>
                              <w:ind w:left="18" w:right="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spacing w:before="148"/>
                              <w:ind w:right="48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48"/>
                              <w:ind w:left="2" w:right="3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spacing w:before="148"/>
                              <w:ind w:right="7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148"/>
                              <w:ind w:right="166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41"/>
                              <w:ind w:left="16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right="44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41"/>
                              <w:ind w:left="1" w:right="3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right="166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440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0"/>
                              <w:ind w:left="16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color w:val="FFFFFF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spacing w:before="116"/>
                              <w:ind w:left="19" w:right="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spacing w:before="150"/>
                              <w:ind w:right="489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0"/>
                              <w:ind w:left="2" w:right="3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spacing w:before="150"/>
                              <w:ind w:left="5" w:right="7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(43)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150"/>
                              <w:ind w:right="166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404" w:hRule="atLeast"/>
                        </w:trPr>
                        <w:tc>
                          <w:tcPr>
                            <w:tcW w:w="77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77"/>
                              <w:ind w:left="59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316</w:t>
                            </w:r>
                          </w:p>
                        </w:tc>
                        <w:tc>
                          <w:tcPr>
                            <w:tcW w:w="121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9" w:type="dxa"/>
                          </w:tcPr>
                          <w:p>
                            <w:pPr>
                              <w:pStyle w:val="TableParagraph"/>
                              <w:spacing w:before="77"/>
                              <w:ind w:right="440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316</w:t>
                            </w:r>
                          </w:p>
                        </w:tc>
                        <w:tc>
                          <w:tcPr>
                            <w:tcW w:w="1182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77"/>
                              <w:ind w:left="2" w:right="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316</w:t>
                            </w:r>
                          </w:p>
                        </w:tc>
                        <w:tc>
                          <w:tcPr>
                            <w:tcW w:w="1180" w:type="dxa"/>
                          </w:tcPr>
                          <w:p>
                            <w:pPr>
                              <w:pStyle w:val="TableParagraph"/>
                              <w:spacing w:before="77"/>
                              <w:ind w:left="5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(41)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spacing w:before="77"/>
                              <w:ind w:right="62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275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2580767</wp:posOffset>
                </wp:positionH>
                <wp:positionV relativeFrom="paragraph">
                  <wp:posOffset>-15925</wp:posOffset>
                </wp:positionV>
                <wp:extent cx="771525" cy="288925"/>
                <wp:effectExtent l="0" t="0" r="0" b="0"/>
                <wp:wrapNone/>
                <wp:docPr id="267" name="Graphic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Graphic 267"/>
                      <wps:cNvSpPr/>
                      <wps:spPr>
                        <a:xfrm>
                          <a:off x="0" y="0"/>
                          <a:ext cx="771525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1525" h="288925">
                              <a:moveTo>
                                <a:pt x="771144" y="0"/>
                              </a:moveTo>
                              <a:lnTo>
                                <a:pt x="0" y="0"/>
                              </a:lnTo>
                              <a:lnTo>
                                <a:pt x="0" y="288340"/>
                              </a:lnTo>
                              <a:lnTo>
                                <a:pt x="771144" y="288340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3.210007pt;margin-top:-1.254pt;width:60.72pt;height:22.704pt;mso-position-horizontal-relative:page;mso-position-vertical-relative:paragraph;z-index:15750144" id="docshape243" filled="true" fillcolor="#c5d9f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4807584</wp:posOffset>
                </wp:positionH>
                <wp:positionV relativeFrom="page">
                  <wp:posOffset>5497652</wp:posOffset>
                </wp:positionV>
                <wp:extent cx="771525" cy="288925"/>
                <wp:effectExtent l="0" t="0" r="0" b="0"/>
                <wp:wrapNone/>
                <wp:docPr id="268" name="Graphic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Graphic 268"/>
                      <wps:cNvSpPr/>
                      <wps:spPr>
                        <a:xfrm>
                          <a:off x="0" y="0"/>
                          <a:ext cx="771525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1525" h="288925">
                              <a:moveTo>
                                <a:pt x="771448" y="0"/>
                              </a:moveTo>
                              <a:lnTo>
                                <a:pt x="0" y="0"/>
                              </a:lnTo>
                              <a:lnTo>
                                <a:pt x="0" y="288340"/>
                              </a:lnTo>
                              <a:lnTo>
                                <a:pt x="771448" y="288340"/>
                              </a:lnTo>
                              <a:lnTo>
                                <a:pt x="771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8.549988pt;margin-top:432.885986pt;width:60.744pt;height:22.704pt;mso-position-horizontal-relative:page;mso-position-vertical-relative:page;z-index:15750656" id="docshape244" filled="true" fillcolor="#c5d9f0" stroked="false">
                <v:fill type="solid"/>
                <w10:wrap type="none"/>
              </v:rect>
            </w:pict>
          </mc:Fallback>
        </mc:AlternateContent>
      </w:r>
      <w:r>
        <w:rPr>
          <w:spacing w:val="-6"/>
        </w:rPr>
        <w:t>Ζημιές</w:t>
      </w:r>
      <w:r>
        <w:rPr>
          <w:spacing w:val="-5"/>
        </w:rPr>
        <w:t> </w:t>
      </w:r>
      <w:r>
        <w:rPr>
          <w:spacing w:val="-6"/>
        </w:rPr>
        <w:t>απομείωσης</w:t>
      </w:r>
      <w:r>
        <w:rPr>
          <w:spacing w:val="-3"/>
        </w:rPr>
        <w:t> </w:t>
      </w:r>
      <w:r>
        <w:rPr>
          <w:spacing w:val="-6"/>
        </w:rPr>
        <w:t>παγίων και</w:t>
      </w:r>
    </w:p>
    <w:p>
      <w:pPr>
        <w:pStyle w:val="BodyText"/>
        <w:spacing w:before="4"/>
        <w:ind w:left="425"/>
      </w:pPr>
      <w:r>
        <w:rPr>
          <w:spacing w:val="-2"/>
        </w:rPr>
        <w:t>συμμετοχών</w:t>
      </w:r>
    </w:p>
    <w:p>
      <w:pPr>
        <w:pStyle w:val="BodyText"/>
        <w:spacing w:line="247" w:lineRule="auto" w:before="12"/>
        <w:ind w:left="4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2580767</wp:posOffset>
                </wp:positionH>
                <wp:positionV relativeFrom="paragraph">
                  <wp:posOffset>5236</wp:posOffset>
                </wp:positionV>
                <wp:extent cx="771525" cy="2931160"/>
                <wp:effectExtent l="0" t="0" r="0" b="0"/>
                <wp:wrapNone/>
                <wp:docPr id="269" name="Graphic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Graphic 269"/>
                      <wps:cNvSpPr/>
                      <wps:spPr>
                        <a:xfrm>
                          <a:off x="0" y="0"/>
                          <a:ext cx="771525" cy="2931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1525" h="2931160">
                              <a:moveTo>
                                <a:pt x="771144" y="2033092"/>
                              </a:moveTo>
                              <a:lnTo>
                                <a:pt x="0" y="2033092"/>
                              </a:lnTo>
                              <a:lnTo>
                                <a:pt x="0" y="2463165"/>
                              </a:lnTo>
                              <a:lnTo>
                                <a:pt x="0" y="2642997"/>
                              </a:lnTo>
                              <a:lnTo>
                                <a:pt x="0" y="2931033"/>
                              </a:lnTo>
                              <a:lnTo>
                                <a:pt x="771144" y="2931033"/>
                              </a:lnTo>
                              <a:lnTo>
                                <a:pt x="771144" y="2642997"/>
                              </a:lnTo>
                              <a:lnTo>
                                <a:pt x="771144" y="2463165"/>
                              </a:lnTo>
                              <a:lnTo>
                                <a:pt x="771144" y="2033092"/>
                              </a:lnTo>
                              <a:close/>
                            </a:path>
                            <a:path w="771525" h="2931160">
                              <a:moveTo>
                                <a:pt x="771144" y="0"/>
                              </a:moveTo>
                              <a:lnTo>
                                <a:pt x="0" y="0"/>
                              </a:lnTo>
                              <a:lnTo>
                                <a:pt x="0" y="289560"/>
                              </a:lnTo>
                              <a:lnTo>
                                <a:pt x="0" y="577596"/>
                              </a:lnTo>
                              <a:lnTo>
                                <a:pt x="0" y="2033016"/>
                              </a:lnTo>
                              <a:lnTo>
                                <a:pt x="771144" y="2033016"/>
                              </a:lnTo>
                              <a:lnTo>
                                <a:pt x="771144" y="289560"/>
                              </a:lnTo>
                              <a:lnTo>
                                <a:pt x="771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3.210007pt;margin-top:.41236pt;width:60.75pt;height:230.8pt;mso-position-horizontal-relative:page;mso-position-vertical-relative:paragraph;z-index:15746560" id="docshape245" coordorigin="4064,8" coordsize="1215,4616" path="m5279,3210l4064,3210,4064,3887,4064,4170,4064,4624,5279,4624,5279,4170,5279,3887,5279,3210xm5279,8l4064,8,4064,464,4064,918,4064,1499,4064,1952,4064,2221,4064,2898,4064,3210,5279,3210,5279,2898,5279,2221,5279,1952,5279,1499,5279,918,5279,464,5279,8xe" filled="true" fillcolor="#c5d9f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90"/>
        </w:rPr>
        <w:t>Κέρδη/(Ζημιές) από πώληση παγίων </w:t>
      </w:r>
      <w:r>
        <w:rPr/>
        <w:t>και</w:t>
      </w:r>
      <w:r>
        <w:rPr>
          <w:spacing w:val="-3"/>
        </w:rPr>
        <w:t> </w:t>
      </w:r>
      <w:r>
        <w:rPr/>
        <w:t>συμμετοχών</w:t>
      </w:r>
    </w:p>
    <w:p>
      <w:pPr>
        <w:pStyle w:val="BodyText"/>
        <w:spacing w:line="244" w:lineRule="auto" w:before="5"/>
        <w:ind w:left="425" w:right="1273"/>
      </w:pPr>
      <w:r>
        <w:rPr>
          <w:spacing w:val="-4"/>
        </w:rPr>
        <w:t>Προβλέψεις</w:t>
      </w:r>
      <w:r>
        <w:rPr>
          <w:spacing w:val="-15"/>
        </w:rPr>
        <w:t> </w:t>
      </w:r>
      <w:r>
        <w:rPr>
          <w:spacing w:val="-4"/>
        </w:rPr>
        <w:t>και</w:t>
      </w:r>
      <w:r>
        <w:rPr>
          <w:spacing w:val="-15"/>
        </w:rPr>
        <w:t> </w:t>
      </w:r>
      <w:r>
        <w:rPr>
          <w:spacing w:val="-4"/>
        </w:rPr>
        <w:t>έξοδα </w:t>
      </w:r>
      <w:r>
        <w:rPr>
          <w:spacing w:val="-2"/>
        </w:rPr>
        <w:t>μετασχηματισμού</w:t>
      </w:r>
    </w:p>
    <w:p>
      <w:pPr>
        <w:pStyle w:val="BodyText"/>
        <w:spacing w:line="244" w:lineRule="auto" w:before="7"/>
        <w:ind w:left="425"/>
      </w:pPr>
      <w:r>
        <w:rPr/>
        <w:t>Aναλογία</w:t>
      </w:r>
      <w:r>
        <w:rPr>
          <w:spacing w:val="-16"/>
        </w:rPr>
        <w:t> </w:t>
      </w:r>
      <w:r>
        <w:rPr/>
        <w:t>κερδών/(ζημιών)</w:t>
      </w:r>
      <w:r>
        <w:rPr>
          <w:spacing w:val="-16"/>
        </w:rPr>
        <w:t> </w:t>
      </w:r>
      <w:r>
        <w:rPr/>
        <w:t>από </w:t>
      </w:r>
      <w:r>
        <w:rPr>
          <w:spacing w:val="-6"/>
        </w:rPr>
        <w:t>συγγενείς εταιρείες και</w:t>
      </w:r>
      <w:r>
        <w:rPr>
          <w:spacing w:val="-7"/>
        </w:rPr>
        <w:t> </w:t>
      </w:r>
      <w:r>
        <w:rPr>
          <w:spacing w:val="-6"/>
        </w:rPr>
        <w:t>κοινοπραξίες</w:t>
      </w:r>
    </w:p>
    <w:p>
      <w:pPr>
        <w:pStyle w:val="Heading3"/>
        <w:spacing w:line="254" w:lineRule="auto" w:before="129"/>
      </w:pPr>
      <w:r>
        <w:rPr>
          <w:spacing w:val="-6"/>
        </w:rPr>
        <w:t>Κέρδη/(Ζημίες) πριν τον</w:t>
      </w:r>
      <w:r>
        <w:rPr>
          <w:spacing w:val="-7"/>
        </w:rPr>
        <w:t> </w:t>
      </w:r>
      <w:r>
        <w:rPr>
          <w:spacing w:val="-6"/>
        </w:rPr>
        <w:t>Φόρο </w:t>
      </w:r>
      <w:r>
        <w:rPr>
          <w:spacing w:val="-2"/>
        </w:rPr>
        <w:t>εισοδήματος</w:t>
      </w:r>
    </w:p>
    <w:p>
      <w:pPr>
        <w:pStyle w:val="BodyText"/>
        <w:spacing w:line="218" w:lineRule="exact"/>
        <w:ind w:left="425"/>
      </w:pPr>
      <w:r>
        <w:rPr/>
        <w:t>Φόρος</w:t>
      </w:r>
      <w:r>
        <w:rPr>
          <w:spacing w:val="-4"/>
        </w:rPr>
        <w:t> </w:t>
      </w:r>
      <w:r>
        <w:rPr>
          <w:spacing w:val="-2"/>
        </w:rPr>
        <w:t>Εισοδήματος</w:t>
      </w:r>
    </w:p>
    <w:p>
      <w:pPr>
        <w:spacing w:line="249" w:lineRule="auto" w:before="51"/>
        <w:ind w:left="425" w:right="387" w:firstLine="0"/>
        <w:jc w:val="left"/>
        <w:rPr>
          <w:sz w:val="18"/>
        </w:rPr>
      </w:pPr>
      <w:r>
        <w:rPr>
          <w:rFonts w:ascii="Tahoma" w:hAnsi="Tahoma"/>
          <w:b/>
          <w:spacing w:val="-6"/>
          <w:sz w:val="18"/>
        </w:rPr>
        <w:t>Καθαρά κέρδη/ (ζημίες)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6"/>
          <w:sz w:val="18"/>
        </w:rPr>
        <w:t>μετά το </w:t>
      </w:r>
      <w:r>
        <w:rPr>
          <w:rFonts w:ascii="Tahoma" w:hAnsi="Tahoma"/>
          <w:b/>
          <w:sz w:val="18"/>
        </w:rPr>
        <w:t>φόρο εισοδήματος, από </w:t>
      </w:r>
      <w:r>
        <w:rPr>
          <w:rFonts w:ascii="Tahoma" w:hAnsi="Tahoma"/>
          <w:b/>
          <w:spacing w:val="-2"/>
          <w:sz w:val="18"/>
        </w:rPr>
        <w:t>συνεχιζόμενες δραστηριότητες </w:t>
      </w:r>
      <w:r>
        <w:rPr>
          <w:spacing w:val="-2"/>
          <w:sz w:val="18"/>
        </w:rPr>
        <w:t>Επίπτωση</w:t>
      </w:r>
      <w:r>
        <w:rPr>
          <w:spacing w:val="-14"/>
          <w:sz w:val="18"/>
        </w:rPr>
        <w:t> </w:t>
      </w:r>
      <w:r>
        <w:rPr>
          <w:spacing w:val="-2"/>
          <w:sz w:val="18"/>
        </w:rPr>
        <w:t>από</w:t>
      </w:r>
      <w:r>
        <w:rPr>
          <w:spacing w:val="-14"/>
          <w:sz w:val="18"/>
        </w:rPr>
        <w:t> </w:t>
      </w:r>
      <w:r>
        <w:rPr>
          <w:spacing w:val="-2"/>
          <w:sz w:val="18"/>
        </w:rPr>
        <w:t>συναλλαγές</w:t>
      </w:r>
      <w:r>
        <w:rPr>
          <w:spacing w:val="-15"/>
          <w:sz w:val="18"/>
        </w:rPr>
        <w:t> </w:t>
      </w:r>
      <w:r>
        <w:rPr>
          <w:spacing w:val="-2"/>
          <w:sz w:val="18"/>
        </w:rPr>
        <w:t>ΜΕΑ</w:t>
      </w:r>
    </w:p>
    <w:p>
      <w:pPr>
        <w:pStyle w:val="Heading3"/>
      </w:pPr>
      <w:r>
        <w:rPr>
          <w:spacing w:val="-6"/>
        </w:rPr>
        <w:t>Καθαρά</w:t>
      </w:r>
      <w:r>
        <w:rPr>
          <w:spacing w:val="-2"/>
        </w:rPr>
        <w:t> </w:t>
      </w:r>
      <w:r>
        <w:rPr>
          <w:spacing w:val="-6"/>
        </w:rPr>
        <w:t>κέρδη/</w:t>
      </w:r>
      <w:r>
        <w:rPr/>
        <w:t> </w:t>
      </w:r>
      <w:r>
        <w:rPr>
          <w:spacing w:val="-6"/>
        </w:rPr>
        <w:t>(ζημίες)</w:t>
      </w:r>
      <w:r>
        <w:rPr>
          <w:spacing w:val="-2"/>
        </w:rPr>
        <w:t> </w:t>
      </w:r>
      <w:r>
        <w:rPr>
          <w:spacing w:val="-6"/>
        </w:rPr>
        <w:t>μετά</w:t>
      </w:r>
      <w:r>
        <w:rPr>
          <w:spacing w:val="-1"/>
        </w:rPr>
        <w:t> </w:t>
      </w:r>
      <w:r>
        <w:rPr>
          <w:spacing w:val="-6"/>
        </w:rPr>
        <w:t>το</w:t>
      </w:r>
    </w:p>
    <w:p>
      <w:pPr>
        <w:spacing w:line="244" w:lineRule="auto" w:before="5"/>
        <w:ind w:left="425" w:right="0" w:firstLine="0"/>
        <w:jc w:val="left"/>
        <w:rPr>
          <w:sz w:val="18"/>
        </w:rPr>
      </w:pPr>
      <w:r>
        <w:rPr>
          <w:rFonts w:ascii="Tahoma" w:hAnsi="Tahoma"/>
          <w:b/>
          <w:spacing w:val="-4"/>
          <w:sz w:val="18"/>
        </w:rPr>
        <w:t>φόρο</w:t>
      </w:r>
      <w:r>
        <w:rPr>
          <w:rFonts w:ascii="Tahoma" w:hAnsi="Tahoma"/>
          <w:b/>
          <w:spacing w:val="-8"/>
          <w:sz w:val="18"/>
        </w:rPr>
        <w:t> </w:t>
      </w:r>
      <w:r>
        <w:rPr>
          <w:rFonts w:ascii="Tahoma" w:hAnsi="Tahoma"/>
          <w:b/>
          <w:spacing w:val="-4"/>
          <w:sz w:val="18"/>
        </w:rPr>
        <w:t>εισοδήματος,</w:t>
      </w:r>
      <w:r>
        <w:rPr>
          <w:rFonts w:ascii="Tahoma" w:hAnsi="Tahoma"/>
          <w:b/>
          <w:spacing w:val="-8"/>
          <w:sz w:val="18"/>
        </w:rPr>
        <w:t> </w:t>
      </w:r>
      <w:r>
        <w:rPr>
          <w:rFonts w:ascii="Tahoma" w:hAnsi="Tahoma"/>
          <w:b/>
          <w:spacing w:val="-4"/>
          <w:sz w:val="18"/>
        </w:rPr>
        <w:t>από</w:t>
      </w:r>
      <w:r>
        <w:rPr>
          <w:rFonts w:ascii="Tahoma" w:hAnsi="Tahoma"/>
          <w:b/>
          <w:spacing w:val="-6"/>
          <w:sz w:val="18"/>
        </w:rPr>
        <w:t> </w:t>
      </w:r>
      <w:r>
        <w:rPr>
          <w:spacing w:val="-4"/>
          <w:sz w:val="18"/>
        </w:rPr>
        <w:t>διακοπείσες </w:t>
      </w:r>
      <w:r>
        <w:rPr>
          <w:spacing w:val="-2"/>
          <w:sz w:val="18"/>
        </w:rPr>
        <w:t>δραστηριότητες</w:t>
      </w:r>
    </w:p>
    <w:p>
      <w:pPr>
        <w:pStyle w:val="BodyText"/>
        <w:spacing w:before="7"/>
        <w:ind w:left="425"/>
      </w:pPr>
      <w:r>
        <w:rPr>
          <w:spacing w:val="-4"/>
        </w:rPr>
        <w:t>Λοιπές</w:t>
      </w:r>
      <w:r>
        <w:rPr>
          <w:spacing w:val="-6"/>
        </w:rPr>
        <w:t> </w:t>
      </w:r>
      <w:r>
        <w:rPr>
          <w:spacing w:val="-2"/>
        </w:rPr>
        <w:t>αναπροσαρμογές</w:t>
      </w:r>
    </w:p>
    <w:p>
      <w:pPr>
        <w:pStyle w:val="Heading3"/>
        <w:spacing w:line="247" w:lineRule="auto" w:before="65"/>
      </w:pPr>
      <w:r>
        <w:rPr>
          <w:spacing w:val="-6"/>
        </w:rPr>
        <w:t>Καθαρά κέρδη/(Ζημίες) μετά </w:t>
      </w:r>
      <w:r>
        <w:rPr>
          <w:spacing w:val="-6"/>
        </w:rPr>
        <w:t>από </w:t>
      </w:r>
      <w:r>
        <w:rPr>
          <w:spacing w:val="-2"/>
        </w:rPr>
        <w:t>Φόρους</w:t>
      </w:r>
    </w:p>
    <w:p>
      <w:pPr>
        <w:pStyle w:val="BodyText"/>
        <w:spacing w:line="191" w:lineRule="exact"/>
        <w:ind w:left="1427"/>
        <w:rPr>
          <w:rFonts w:ascii="Arial MT"/>
        </w:rPr>
      </w:pPr>
      <w:r>
        <w:rPr/>
        <w:br w:type="column"/>
      </w:r>
      <w:r>
        <w:rPr>
          <w:rFonts w:ascii="Arial MT"/>
          <w:spacing w:val="-5"/>
        </w:rPr>
        <w:t>(1)</w:t>
      </w:r>
    </w:p>
    <w:p>
      <w:pPr>
        <w:tabs>
          <w:tab w:pos="2111" w:val="left" w:leader="none"/>
        </w:tabs>
        <w:spacing w:line="240" w:lineRule="auto"/>
        <w:ind w:left="-173" w:right="0" w:firstLine="0"/>
        <w:jc w:val="left"/>
        <w:rPr>
          <w:rFonts w:ascii="Arial MT"/>
          <w:sz w:val="20"/>
        </w:rPr>
      </w:pPr>
      <w:r>
        <w:rPr>
          <w:rFonts w:ascii="Arial MT"/>
          <w:position w:val="46"/>
          <w:sz w:val="20"/>
        </w:rPr>
        <mc:AlternateContent>
          <mc:Choice Requires="wps">
            <w:drawing>
              <wp:inline distT="0" distB="0" distL="0" distR="0">
                <wp:extent cx="328930" cy="1362710"/>
                <wp:effectExtent l="0" t="0" r="0" b="8890"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328930" cy="1362710"/>
                          <a:chExt cx="328930" cy="1362710"/>
                        </a:xfrm>
                      </wpg:grpSpPr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4" y="596859"/>
                            <a:ext cx="25146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2877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" y="1191219"/>
                            <a:ext cx="323850" cy="171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5.9pt;height:107.3pt;mso-position-horizontal-relative:char;mso-position-vertical-relative:line" id="docshapegroup246" coordorigin="0,0" coordsize="518,2146">
                <v:shape style="position:absolute;left:31;top:939;width:396;height:120" type="#_x0000_t75" id="docshape247" stroked="false">
                  <v:imagedata r:id="rId27" o:title=""/>
                </v:shape>
                <v:shape style="position:absolute;left:0;top:0;width:340;height:2028" type="#_x0000_t75" id="docshape248" stroked="false">
                  <v:imagedata r:id="rId28" o:title=""/>
                </v:shape>
                <v:shape style="position:absolute;left:8;top:1875;width:510;height:270" type="#_x0000_t75" id="docshape249" stroked="false">
                  <v:imagedata r:id="rId29" o:title=""/>
                </v:shape>
              </v:group>
            </w:pict>
          </mc:Fallback>
        </mc:AlternateContent>
      </w:r>
      <w:r>
        <w:rPr>
          <w:rFonts w:ascii="Arial MT"/>
          <w:position w:val="46"/>
          <w:sz w:val="20"/>
        </w:rPr>
      </w:r>
      <w:r>
        <w:rPr>
          <w:rFonts w:ascii="Times New Roman"/>
          <w:spacing w:val="109"/>
          <w:position w:val="46"/>
          <w:sz w:val="20"/>
        </w:rPr>
        <w:t> </w:t>
      </w:r>
      <w:r>
        <w:rPr>
          <w:rFonts w:ascii="Arial MT"/>
          <w:spacing w:val="109"/>
          <w:position w:val="60"/>
          <w:sz w:val="20"/>
        </w:rPr>
        <mc:AlternateContent>
          <mc:Choice Requires="wps">
            <w:drawing>
              <wp:inline distT="0" distB="0" distL="0" distR="0">
                <wp:extent cx="306070" cy="2710815"/>
                <wp:effectExtent l="0" t="0" r="0" b="3810"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306070" cy="2710815"/>
                          <a:chExt cx="306070" cy="271081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30607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636905">
                                <a:moveTo>
                                  <a:pt x="289560" y="593725"/>
                                </a:moveTo>
                                <a:lnTo>
                                  <a:pt x="75247" y="593725"/>
                                </a:lnTo>
                                <a:lnTo>
                                  <a:pt x="73202" y="583577"/>
                                </a:lnTo>
                                <a:lnTo>
                                  <a:pt x="65049" y="571474"/>
                                </a:lnTo>
                                <a:lnTo>
                                  <a:pt x="52946" y="563321"/>
                                </a:lnTo>
                                <a:lnTo>
                                  <a:pt x="38100" y="560324"/>
                                </a:lnTo>
                                <a:lnTo>
                                  <a:pt x="23241" y="563321"/>
                                </a:lnTo>
                                <a:lnTo>
                                  <a:pt x="11137" y="571474"/>
                                </a:lnTo>
                                <a:lnTo>
                                  <a:pt x="2984" y="583577"/>
                                </a:lnTo>
                                <a:lnTo>
                                  <a:pt x="0" y="598424"/>
                                </a:lnTo>
                                <a:lnTo>
                                  <a:pt x="2984" y="613283"/>
                                </a:lnTo>
                                <a:lnTo>
                                  <a:pt x="11137" y="625386"/>
                                </a:lnTo>
                                <a:lnTo>
                                  <a:pt x="23241" y="633539"/>
                                </a:lnTo>
                                <a:lnTo>
                                  <a:pt x="38100" y="636524"/>
                                </a:lnTo>
                                <a:lnTo>
                                  <a:pt x="52946" y="633539"/>
                                </a:lnTo>
                                <a:lnTo>
                                  <a:pt x="65049" y="625386"/>
                                </a:lnTo>
                                <a:lnTo>
                                  <a:pt x="73202" y="613283"/>
                                </a:lnTo>
                                <a:lnTo>
                                  <a:pt x="75222" y="603250"/>
                                </a:lnTo>
                                <a:lnTo>
                                  <a:pt x="289560" y="603250"/>
                                </a:lnTo>
                                <a:lnTo>
                                  <a:pt x="289560" y="593725"/>
                                </a:lnTo>
                                <a:close/>
                              </a:path>
                              <a:path w="306070" h="636905">
                                <a:moveTo>
                                  <a:pt x="294005" y="314579"/>
                                </a:moveTo>
                                <a:lnTo>
                                  <a:pt x="79667" y="314579"/>
                                </a:lnTo>
                                <a:lnTo>
                                  <a:pt x="77647" y="304558"/>
                                </a:lnTo>
                                <a:lnTo>
                                  <a:pt x="69494" y="292455"/>
                                </a:lnTo>
                                <a:lnTo>
                                  <a:pt x="57391" y="284302"/>
                                </a:lnTo>
                                <a:lnTo>
                                  <a:pt x="42545" y="281305"/>
                                </a:lnTo>
                                <a:lnTo>
                                  <a:pt x="27686" y="284302"/>
                                </a:lnTo>
                                <a:lnTo>
                                  <a:pt x="15582" y="292455"/>
                                </a:lnTo>
                                <a:lnTo>
                                  <a:pt x="7429" y="304558"/>
                                </a:lnTo>
                                <a:lnTo>
                                  <a:pt x="4445" y="319405"/>
                                </a:lnTo>
                                <a:lnTo>
                                  <a:pt x="7429" y="334264"/>
                                </a:lnTo>
                                <a:lnTo>
                                  <a:pt x="15582" y="346367"/>
                                </a:lnTo>
                                <a:lnTo>
                                  <a:pt x="27686" y="354520"/>
                                </a:lnTo>
                                <a:lnTo>
                                  <a:pt x="42545" y="357505"/>
                                </a:lnTo>
                                <a:lnTo>
                                  <a:pt x="57391" y="354520"/>
                                </a:lnTo>
                                <a:lnTo>
                                  <a:pt x="69494" y="346367"/>
                                </a:lnTo>
                                <a:lnTo>
                                  <a:pt x="77647" y="334264"/>
                                </a:lnTo>
                                <a:lnTo>
                                  <a:pt x="79692" y="324104"/>
                                </a:lnTo>
                                <a:lnTo>
                                  <a:pt x="294005" y="324104"/>
                                </a:lnTo>
                                <a:lnTo>
                                  <a:pt x="294005" y="314579"/>
                                </a:lnTo>
                                <a:close/>
                              </a:path>
                              <a:path w="306070" h="636905">
                                <a:moveTo>
                                  <a:pt x="306070" y="33401"/>
                                </a:moveTo>
                                <a:lnTo>
                                  <a:pt x="91757" y="33401"/>
                                </a:lnTo>
                                <a:lnTo>
                                  <a:pt x="89712" y="23253"/>
                                </a:lnTo>
                                <a:lnTo>
                                  <a:pt x="81559" y="11150"/>
                                </a:lnTo>
                                <a:lnTo>
                                  <a:pt x="69456" y="2997"/>
                                </a:lnTo>
                                <a:lnTo>
                                  <a:pt x="54610" y="0"/>
                                </a:lnTo>
                                <a:lnTo>
                                  <a:pt x="39751" y="2997"/>
                                </a:lnTo>
                                <a:lnTo>
                                  <a:pt x="27647" y="11150"/>
                                </a:lnTo>
                                <a:lnTo>
                                  <a:pt x="19494" y="23253"/>
                                </a:lnTo>
                                <a:lnTo>
                                  <a:pt x="16510" y="38100"/>
                                </a:lnTo>
                                <a:lnTo>
                                  <a:pt x="19494" y="52959"/>
                                </a:lnTo>
                                <a:lnTo>
                                  <a:pt x="27647" y="65062"/>
                                </a:lnTo>
                                <a:lnTo>
                                  <a:pt x="39751" y="73215"/>
                                </a:lnTo>
                                <a:lnTo>
                                  <a:pt x="54610" y="76200"/>
                                </a:lnTo>
                                <a:lnTo>
                                  <a:pt x="69456" y="73215"/>
                                </a:lnTo>
                                <a:lnTo>
                                  <a:pt x="81559" y="65062"/>
                                </a:lnTo>
                                <a:lnTo>
                                  <a:pt x="89712" y="52959"/>
                                </a:lnTo>
                                <a:lnTo>
                                  <a:pt x="91732" y="42926"/>
                                </a:lnTo>
                                <a:lnTo>
                                  <a:pt x="306070" y="42926"/>
                                </a:lnTo>
                                <a:lnTo>
                                  <a:pt x="306070" y="33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545" y="46990"/>
                            <a:ext cx="9523" cy="2663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4.1pt;height:213.45pt;mso-position-horizontal-relative:char;mso-position-vertical-relative:line" id="docshapegroup250" coordorigin="0,0" coordsize="482,4269">
                <v:shape style="position:absolute;left:0;top:0;width:482;height:1003" id="docshape251" coordorigin="0,0" coordsize="482,1003" path="m456,935l119,935,115,919,102,900,83,887,60,882,37,887,18,900,5,919,0,942,5,966,18,985,37,998,60,1002,83,998,102,985,115,966,118,950,456,950,456,935xm463,495l125,495,122,480,109,461,90,448,67,443,44,448,25,461,12,480,7,503,12,526,25,545,44,558,67,563,90,558,109,545,122,526,126,510,463,510,463,495xm482,53l145,53,141,37,128,18,109,5,86,0,63,5,44,18,31,37,26,60,31,83,44,102,63,115,86,120,109,115,128,102,141,83,144,68,482,68,482,53xe" filled="true" fillcolor="#a6a6a6" stroked="false">
                  <v:path arrowok="t"/>
                  <v:fill type="solid"/>
                </v:shape>
                <v:shape style="position:absolute;left:467;top:74;width:15;height:4195" type="#_x0000_t75" id="docshape252" stroked="false">
                  <v:imagedata r:id="rId30" o:title=""/>
                </v:shape>
              </v:group>
            </w:pict>
          </mc:Fallback>
        </mc:AlternateContent>
      </w:r>
      <w:r>
        <w:rPr>
          <w:rFonts w:ascii="Arial MT"/>
          <w:spacing w:val="109"/>
          <w:position w:val="60"/>
          <w:sz w:val="20"/>
        </w:rPr>
      </w:r>
      <w:r>
        <w:rPr>
          <w:rFonts w:ascii="Arial MT"/>
          <w:spacing w:val="109"/>
          <w:position w:val="60"/>
          <w:sz w:val="20"/>
        </w:rPr>
        <w:tab/>
      </w:r>
      <w:r>
        <w:rPr>
          <w:rFonts w:ascii="Arial MT"/>
          <w:spacing w:val="109"/>
          <w:sz w:val="20"/>
        </w:rPr>
        <mc:AlternateContent>
          <mc:Choice Requires="wps">
            <w:drawing>
              <wp:inline distT="0" distB="0" distL="0" distR="0">
                <wp:extent cx="771525" cy="2931160"/>
                <wp:effectExtent l="0" t="0" r="0" b="0"/>
                <wp:docPr id="277" name="Group 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7" name="Group 277"/>
                      <wpg:cNvGrpSpPr/>
                      <wpg:grpSpPr>
                        <a:xfrm>
                          <a:off x="0" y="0"/>
                          <a:ext cx="771525" cy="2931160"/>
                          <a:chExt cx="771525" cy="2931160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0"/>
                            <a:ext cx="771525" cy="293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2931160">
                                <a:moveTo>
                                  <a:pt x="771448" y="2033092"/>
                                </a:moveTo>
                                <a:lnTo>
                                  <a:pt x="0" y="2033092"/>
                                </a:lnTo>
                                <a:lnTo>
                                  <a:pt x="0" y="2463165"/>
                                </a:lnTo>
                                <a:lnTo>
                                  <a:pt x="0" y="2642997"/>
                                </a:lnTo>
                                <a:lnTo>
                                  <a:pt x="0" y="2931033"/>
                                </a:lnTo>
                                <a:lnTo>
                                  <a:pt x="771448" y="2931033"/>
                                </a:lnTo>
                                <a:lnTo>
                                  <a:pt x="771448" y="2642997"/>
                                </a:lnTo>
                                <a:lnTo>
                                  <a:pt x="771448" y="2463165"/>
                                </a:lnTo>
                                <a:lnTo>
                                  <a:pt x="771448" y="2033092"/>
                                </a:lnTo>
                                <a:close/>
                              </a:path>
                              <a:path w="771525" h="2931160">
                                <a:moveTo>
                                  <a:pt x="771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60"/>
                                </a:lnTo>
                                <a:lnTo>
                                  <a:pt x="0" y="577596"/>
                                </a:lnTo>
                                <a:lnTo>
                                  <a:pt x="0" y="2033016"/>
                                </a:lnTo>
                                <a:lnTo>
                                  <a:pt x="771448" y="2033016"/>
                                </a:lnTo>
                                <a:lnTo>
                                  <a:pt x="771448" y="289560"/>
                                </a:lnTo>
                                <a:lnTo>
                                  <a:pt x="771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75pt;height:230.8pt;mso-position-horizontal-relative:char;mso-position-vertical-relative:line" id="docshapegroup253" coordorigin="0,0" coordsize="1215,4616">
                <v:shape style="position:absolute;left:0;top:0;width:1215;height:4616" id="docshape254" coordorigin="0,0" coordsize="1215,4616" path="m1215,3202l0,3202,0,3879,0,4162,0,4616,1215,4616,1215,4162,1215,3879,1215,3202xm1215,0l0,0,0,456,0,910,0,1490,0,1944,0,2213,0,2890,0,3202,1215,3202,1215,2890,1215,2213,1215,1944,1215,1490,1215,910,1215,456,1215,0xe" filled="true" fillcolor="#c5d9f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pacing w:val="109"/>
          <w:sz w:val="20"/>
        </w:rPr>
      </w:r>
    </w:p>
    <w:p>
      <w:pPr>
        <w:spacing w:after="0" w:line="240" w:lineRule="auto"/>
        <w:jc w:val="left"/>
        <w:rPr>
          <w:rFonts w:ascii="Arial MT"/>
          <w:sz w:val="20"/>
        </w:rPr>
        <w:sectPr>
          <w:type w:val="continuous"/>
          <w:pgSz w:w="11920" w:h="16850"/>
          <w:pgMar w:header="639" w:footer="648" w:top="1940" w:bottom="280" w:left="283" w:right="425"/>
          <w:cols w:num="2" w:equalWidth="0">
            <w:col w:w="3573" w:space="1604"/>
            <w:col w:w="6035"/>
          </w:cols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26"/>
        <w:rPr>
          <w:rFonts w:ascii="Arial MT"/>
          <w:sz w:val="20"/>
        </w:rPr>
      </w:pPr>
    </w:p>
    <w:p>
      <w:pPr>
        <w:pStyle w:val="BodyText"/>
        <w:spacing w:after="0"/>
        <w:rPr>
          <w:rFonts w:ascii="Arial MT"/>
          <w:sz w:val="20"/>
        </w:rPr>
        <w:sectPr>
          <w:pgSz w:w="11920" w:h="16850"/>
          <w:pgMar w:header="639" w:footer="648" w:top="1260" w:bottom="840" w:left="283" w:right="425"/>
        </w:sectPr>
      </w:pPr>
    </w:p>
    <w:p>
      <w:pPr>
        <w:spacing w:before="99"/>
        <w:ind w:left="425" w:right="0" w:firstLine="0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3717290</wp:posOffset>
            </wp:positionH>
            <wp:positionV relativeFrom="paragraph">
              <wp:posOffset>1175282</wp:posOffset>
            </wp:positionV>
            <wp:extent cx="440689" cy="5903595"/>
            <wp:effectExtent l="0" t="0" r="0" b="0"/>
            <wp:wrapNone/>
            <wp:docPr id="279" name="Image 2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9" name="Image 27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89" cy="590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color w:val="E2882D"/>
          <w:w w:val="95"/>
          <w:sz w:val="16"/>
        </w:rPr>
        <w:t>Αποτελέσματα</w:t>
      </w:r>
      <w:r>
        <w:rPr>
          <w:rFonts w:ascii="Tahoma" w:hAnsi="Tahoma"/>
          <w:b/>
          <w:color w:val="E2882D"/>
          <w:spacing w:val="-3"/>
          <w:w w:val="95"/>
          <w:sz w:val="16"/>
        </w:rPr>
        <w:t> </w:t>
      </w:r>
      <w:r>
        <w:rPr>
          <w:rFonts w:ascii="Tahoma" w:hAnsi="Tahoma"/>
          <w:b/>
          <w:color w:val="E2882D"/>
          <w:w w:val="95"/>
          <w:sz w:val="16"/>
        </w:rPr>
        <w:t>Χρήσης</w:t>
      </w:r>
      <w:r>
        <w:rPr>
          <w:rFonts w:ascii="Tahoma" w:hAnsi="Tahoma"/>
          <w:b/>
          <w:color w:val="E2882D"/>
          <w:spacing w:val="-3"/>
          <w:w w:val="95"/>
          <w:sz w:val="16"/>
        </w:rPr>
        <w:t> </w:t>
      </w:r>
      <w:r>
        <w:rPr>
          <w:rFonts w:ascii="Tahoma" w:hAnsi="Tahoma"/>
          <w:b/>
          <w:color w:val="E2882D"/>
          <w:w w:val="85"/>
          <w:sz w:val="16"/>
        </w:rPr>
        <w:t>|</w:t>
      </w:r>
      <w:r>
        <w:rPr>
          <w:rFonts w:ascii="Tahoma" w:hAnsi="Tahoma"/>
          <w:b/>
          <w:color w:val="E2882D"/>
          <w:spacing w:val="-1"/>
          <w:w w:val="95"/>
          <w:sz w:val="16"/>
        </w:rPr>
        <w:t> </w:t>
      </w:r>
      <w:r>
        <w:rPr>
          <w:rFonts w:ascii="Tahoma" w:hAnsi="Tahoma"/>
          <w:b/>
          <w:color w:val="E2882D"/>
          <w:spacing w:val="-2"/>
          <w:w w:val="95"/>
          <w:sz w:val="16"/>
        </w:rPr>
        <w:t>Όμιλος</w:t>
      </w:r>
    </w:p>
    <w:p>
      <w:pPr>
        <w:spacing w:before="109"/>
        <w:ind w:left="425" w:right="0" w:firstLine="0"/>
        <w:jc w:val="left"/>
        <w:rPr>
          <w:rFonts w:ascii="Tahoma" w:hAnsi="Tahoma"/>
          <w:b/>
          <w:sz w:val="16"/>
        </w:rPr>
      </w:pPr>
      <w:r>
        <w:rPr/>
        <w:br w:type="column"/>
      </w:r>
      <w:r>
        <w:rPr>
          <w:rFonts w:ascii="Tahoma" w:hAnsi="Tahoma"/>
          <w:b/>
          <w:color w:val="E2882D"/>
          <w:spacing w:val="-6"/>
          <w:sz w:val="16"/>
        </w:rPr>
        <w:t>Συμφωνία</w:t>
      </w:r>
      <w:r>
        <w:rPr>
          <w:rFonts w:ascii="Tahoma" w:hAnsi="Tahoma"/>
          <w:b/>
          <w:color w:val="E2882D"/>
          <w:spacing w:val="4"/>
          <w:sz w:val="16"/>
        </w:rPr>
        <w:t> </w:t>
      </w:r>
      <w:r>
        <w:rPr>
          <w:rFonts w:ascii="Tahoma" w:hAnsi="Tahoma"/>
          <w:b/>
          <w:color w:val="E2882D"/>
          <w:spacing w:val="-6"/>
          <w:sz w:val="16"/>
        </w:rPr>
        <w:t>μεταξύ</w:t>
      </w:r>
      <w:r>
        <w:rPr>
          <w:rFonts w:ascii="Tahoma" w:hAnsi="Tahoma"/>
          <w:b/>
          <w:color w:val="E2882D"/>
          <w:spacing w:val="6"/>
          <w:sz w:val="16"/>
        </w:rPr>
        <w:t> </w:t>
      </w:r>
      <w:r>
        <w:rPr>
          <w:rFonts w:ascii="Tahoma" w:hAnsi="Tahoma"/>
          <w:b/>
          <w:color w:val="E2882D"/>
          <w:spacing w:val="-6"/>
          <w:sz w:val="16"/>
        </w:rPr>
        <w:t>Λογιστικών</w:t>
      </w:r>
    </w:p>
    <w:p>
      <w:pPr>
        <w:spacing w:before="109"/>
        <w:ind w:left="425" w:right="0" w:firstLine="0"/>
        <w:jc w:val="left"/>
        <w:rPr>
          <w:rFonts w:ascii="Tahoma" w:hAnsi="Tahoma"/>
          <w:b/>
          <w:sz w:val="16"/>
        </w:rPr>
      </w:pPr>
      <w:r>
        <w:rPr/>
        <w:br w:type="column"/>
      </w:r>
      <w:r>
        <w:rPr>
          <w:rFonts w:ascii="Tahoma" w:hAnsi="Tahoma"/>
          <w:b/>
          <w:color w:val="E2882D"/>
          <w:spacing w:val="-4"/>
          <w:sz w:val="16"/>
        </w:rPr>
        <w:t>Συμφωνία</w:t>
      </w:r>
      <w:r>
        <w:rPr>
          <w:rFonts w:ascii="Tahoma" w:hAnsi="Tahoma"/>
          <w:b/>
          <w:color w:val="E2882D"/>
          <w:sz w:val="16"/>
        </w:rPr>
        <w:t> </w:t>
      </w:r>
      <w:r>
        <w:rPr>
          <w:rFonts w:ascii="Tahoma" w:hAnsi="Tahoma"/>
          <w:b/>
          <w:color w:val="E2882D"/>
          <w:spacing w:val="-4"/>
          <w:sz w:val="16"/>
        </w:rPr>
        <w:t>μεταξύ</w:t>
      </w:r>
      <w:r>
        <w:rPr>
          <w:rFonts w:ascii="Tahoma" w:hAnsi="Tahoma"/>
          <w:b/>
          <w:color w:val="E2882D"/>
          <w:spacing w:val="2"/>
          <w:sz w:val="16"/>
        </w:rPr>
        <w:t> </w:t>
      </w:r>
      <w:r>
        <w:rPr>
          <w:rFonts w:ascii="Tahoma" w:hAnsi="Tahoma"/>
          <w:b/>
          <w:color w:val="E2882D"/>
          <w:spacing w:val="-4"/>
          <w:sz w:val="16"/>
        </w:rPr>
        <w:t>ΕΔΜΑ</w:t>
      </w:r>
      <w:r>
        <w:rPr>
          <w:rFonts w:ascii="Tahoma" w:hAnsi="Tahoma"/>
          <w:b/>
          <w:color w:val="E2882D"/>
          <w:spacing w:val="2"/>
          <w:sz w:val="16"/>
        </w:rPr>
        <w:t> </w:t>
      </w:r>
      <w:r>
        <w:rPr>
          <w:rFonts w:ascii="Tahoma" w:hAnsi="Tahoma"/>
          <w:b/>
          <w:color w:val="E2882D"/>
          <w:spacing w:val="-5"/>
          <w:sz w:val="16"/>
        </w:rPr>
        <w:t>και</w:t>
      </w:r>
    </w:p>
    <w:p>
      <w:pPr>
        <w:spacing w:after="0"/>
        <w:jc w:val="left"/>
        <w:rPr>
          <w:rFonts w:ascii="Tahoma" w:hAnsi="Tahoma"/>
          <w:b/>
          <w:sz w:val="16"/>
        </w:rPr>
        <w:sectPr>
          <w:type w:val="continuous"/>
          <w:pgSz w:w="11920" w:h="16850"/>
          <w:pgMar w:header="639" w:footer="648" w:top="1940" w:bottom="280" w:left="283" w:right="425"/>
          <w:cols w:num="3" w:equalWidth="0">
            <w:col w:w="2908" w:space="899"/>
            <w:col w:w="2764" w:space="912"/>
            <w:col w:w="3729"/>
          </w:cols>
        </w:sectPr>
      </w:pPr>
    </w:p>
    <w:tbl>
      <w:tblPr>
        <w:tblW w:w="0" w:type="auto"/>
        <w:jc w:val="left"/>
        <w:tblInd w:w="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6"/>
        <w:gridCol w:w="1205"/>
        <w:gridCol w:w="1153"/>
        <w:gridCol w:w="91"/>
        <w:gridCol w:w="995"/>
        <w:gridCol w:w="1203"/>
        <w:gridCol w:w="1210"/>
        <w:gridCol w:w="1244"/>
      </w:tblGrid>
      <w:tr>
        <w:trPr>
          <w:trHeight w:val="199" w:hRule="atLeast"/>
        </w:trPr>
        <w:tc>
          <w:tcPr>
            <w:tcW w:w="10387" w:type="dxa"/>
            <w:gridSpan w:val="8"/>
          </w:tcPr>
          <w:p>
            <w:pPr>
              <w:pStyle w:val="TableParagraph"/>
              <w:tabs>
                <w:tab w:pos="4061" w:val="left" w:leader="none"/>
                <w:tab w:pos="7354" w:val="left" w:leader="none"/>
              </w:tabs>
              <w:spacing w:line="180" w:lineRule="exact"/>
              <w:ind w:left="5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w w:val="90"/>
                <w:sz w:val="16"/>
              </w:rPr>
              <w:t>(εκατ.</w:t>
            </w:r>
            <w:r>
              <w:rPr>
                <w:rFonts w:ascii="Tahoma" w:hAnsi="Tahoma"/>
                <w:b/>
                <w:color w:val="E2882D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5"/>
                <w:sz w:val="16"/>
              </w:rPr>
              <w:t>€)</w:t>
            </w:r>
            <w:r>
              <w:rPr>
                <w:rFonts w:ascii="Tahoma" w:hAnsi="Tahoma"/>
                <w:b/>
                <w:color w:val="E2882D"/>
                <w:sz w:val="16"/>
              </w:rPr>
              <w:tab/>
            </w:r>
            <w:r>
              <w:rPr>
                <w:rFonts w:ascii="Tahoma" w:hAnsi="Tahoma"/>
                <w:b/>
                <w:color w:val="E2882D"/>
                <w:w w:val="95"/>
                <w:sz w:val="16"/>
              </w:rPr>
              <w:t>Καταστάσεων</w:t>
            </w:r>
            <w:r>
              <w:rPr>
                <w:rFonts w:ascii="Tahoma" w:hAnsi="Tahoma"/>
                <w:b/>
                <w:color w:val="E2882D"/>
                <w:spacing w:val="15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w w:val="95"/>
                <w:sz w:val="16"/>
              </w:rPr>
              <w:t>και</w:t>
            </w:r>
            <w:r>
              <w:rPr>
                <w:rFonts w:ascii="Tahoma" w:hAnsi="Tahoma"/>
                <w:b/>
                <w:color w:val="E2882D"/>
                <w:spacing w:val="17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4"/>
                <w:w w:val="95"/>
                <w:sz w:val="16"/>
              </w:rPr>
              <w:t>ΕΔΜΑ</w:t>
            </w:r>
            <w:r>
              <w:rPr>
                <w:rFonts w:ascii="Tahoma" w:hAnsi="Tahoma"/>
                <w:b/>
                <w:color w:val="E2882D"/>
                <w:sz w:val="16"/>
              </w:rPr>
              <w:tab/>
            </w:r>
            <w:r>
              <w:rPr>
                <w:rFonts w:ascii="Tahoma" w:hAnsi="Tahoma"/>
                <w:b/>
                <w:color w:val="E2882D"/>
                <w:w w:val="95"/>
                <w:sz w:val="16"/>
              </w:rPr>
              <w:t>Προσαρμοσμένων</w:t>
            </w:r>
            <w:r>
              <w:rPr>
                <w:rFonts w:ascii="Tahoma" w:hAnsi="Tahoma"/>
                <w:b/>
                <w:color w:val="E2882D"/>
                <w:spacing w:val="23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Λογαριασμών</w:t>
            </w:r>
          </w:p>
        </w:tc>
      </w:tr>
      <w:tr>
        <w:trPr>
          <w:trHeight w:val="205" w:hRule="atLeast"/>
        </w:trPr>
        <w:tc>
          <w:tcPr>
            <w:tcW w:w="32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line="180" w:lineRule="exact" w:before="5"/>
              <w:ind w:left="2" w:right="3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Λογιστικές</w:t>
            </w:r>
          </w:p>
        </w:tc>
        <w:tc>
          <w:tcPr>
            <w:tcW w:w="12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line="180" w:lineRule="exact" w:before="5"/>
              <w:ind w:right="123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z w:val="16"/>
              </w:rPr>
              <w:t>Α’</w:t>
            </w:r>
            <w:r>
              <w:rPr>
                <w:rFonts w:ascii="Tahoma" w:hAnsi="Tahoma"/>
                <w:b/>
                <w:color w:val="E2882D"/>
                <w:spacing w:val="5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Τρίμηνο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line="180" w:lineRule="exact" w:before="5"/>
              <w:ind w:left="1" w:right="4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Λογιστικές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line="180" w:lineRule="exact" w:before="5"/>
              <w:ind w:left="304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z w:val="16"/>
              </w:rPr>
              <w:t>Α’</w:t>
            </w:r>
            <w:r>
              <w:rPr>
                <w:rFonts w:ascii="Tahoma" w:hAnsi="Tahoma"/>
                <w:b/>
                <w:color w:val="E2882D"/>
                <w:spacing w:val="6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Τρίμηνο</w:t>
            </w:r>
          </w:p>
        </w:tc>
      </w:tr>
      <w:tr>
        <w:trPr>
          <w:trHeight w:val="275" w:hRule="atLeast"/>
        </w:trPr>
        <w:tc>
          <w:tcPr>
            <w:tcW w:w="3286" w:type="dxa"/>
          </w:tcPr>
          <w:p>
            <w:pPr>
              <w:pStyle w:val="TableParagraph"/>
              <w:spacing w:line="192" w:lineRule="exact"/>
              <w:ind w:left="50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z w:val="16"/>
              </w:rPr>
              <w:t>Α’</w:t>
            </w:r>
            <w:r>
              <w:rPr>
                <w:rFonts w:ascii="Tahoma" w:hAnsi="Tahoma"/>
                <w:b/>
                <w:color w:val="E2882D"/>
                <w:spacing w:val="-8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z w:val="16"/>
              </w:rPr>
              <w:t>Εξάμηνο</w:t>
            </w:r>
            <w:r>
              <w:rPr>
                <w:rFonts w:ascii="Tahoma" w:hAnsi="Tahoma"/>
                <w:b/>
                <w:color w:val="E2882D"/>
                <w:spacing w:val="-8"/>
                <w:sz w:val="16"/>
              </w:rPr>
              <w:t> </w:t>
            </w:r>
            <w:r>
              <w:rPr>
                <w:rFonts w:ascii="Tahoma" w:hAnsi="Tahoma"/>
                <w:b/>
                <w:color w:val="E2882D"/>
                <w:spacing w:val="-4"/>
                <w:sz w:val="16"/>
              </w:rPr>
              <w:t>2026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line="192" w:lineRule="exact"/>
              <w:ind w:left="2" w:right="3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Καταστάσεις</w:t>
            </w:r>
          </w:p>
        </w:tc>
        <w:tc>
          <w:tcPr>
            <w:tcW w:w="1244" w:type="dxa"/>
            <w:gridSpan w:val="2"/>
          </w:tcPr>
          <w:p>
            <w:pPr>
              <w:pStyle w:val="TableParagraph"/>
              <w:spacing w:line="192" w:lineRule="exact"/>
              <w:ind w:right="126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10"/>
                <w:sz w:val="16"/>
              </w:rPr>
              <w:t>Δ</w:t>
            </w:r>
          </w:p>
        </w:tc>
        <w:tc>
          <w:tcPr>
            <w:tcW w:w="995" w:type="dxa"/>
          </w:tcPr>
          <w:p>
            <w:pPr>
              <w:pStyle w:val="TableParagraph"/>
              <w:spacing w:line="192" w:lineRule="exact"/>
              <w:ind w:right="124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82D"/>
                <w:spacing w:val="-4"/>
                <w:w w:val="95"/>
                <w:sz w:val="16"/>
              </w:rPr>
              <w:t>2026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line="192" w:lineRule="exact"/>
              <w:ind w:left="3" w:right="4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2"/>
                <w:sz w:val="16"/>
              </w:rPr>
              <w:t>Καταστάσεις</w:t>
            </w:r>
          </w:p>
        </w:tc>
        <w:tc>
          <w:tcPr>
            <w:tcW w:w="1210" w:type="dxa"/>
          </w:tcPr>
          <w:p>
            <w:pPr>
              <w:pStyle w:val="TableParagraph"/>
              <w:spacing w:line="192" w:lineRule="exact"/>
              <w:ind w:left="178" w:right="3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color w:val="E2882D"/>
                <w:spacing w:val="-10"/>
                <w:sz w:val="16"/>
              </w:rPr>
              <w:t>Δ</w:t>
            </w:r>
          </w:p>
        </w:tc>
        <w:tc>
          <w:tcPr>
            <w:tcW w:w="1244" w:type="dxa"/>
          </w:tcPr>
          <w:p>
            <w:pPr>
              <w:pStyle w:val="TableParagraph"/>
              <w:spacing w:line="192" w:lineRule="exact"/>
              <w:ind w:left="304" w:right="1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E2882D"/>
                <w:spacing w:val="-4"/>
                <w:w w:val="95"/>
                <w:sz w:val="16"/>
              </w:rPr>
              <w:t>2026</w:t>
            </w:r>
          </w:p>
        </w:tc>
      </w:tr>
      <w:tr>
        <w:trPr>
          <w:trHeight w:val="350" w:hRule="atLeast"/>
        </w:trPr>
        <w:tc>
          <w:tcPr>
            <w:tcW w:w="3286" w:type="dxa"/>
          </w:tcPr>
          <w:p>
            <w:pPr>
              <w:pStyle w:val="TableParagraph"/>
              <w:spacing w:line="147" w:lineRule="exact"/>
              <w:ind w:left="50"/>
              <w:rPr>
                <w:sz w:val="18"/>
              </w:rPr>
            </w:pPr>
            <w:r>
              <w:rPr>
                <w:spacing w:val="-6"/>
                <w:sz w:val="18"/>
              </w:rPr>
              <w:t>Καθαρό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Έσοδο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6"/>
                <w:sz w:val="18"/>
              </w:rPr>
              <w:t>από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6"/>
                <w:sz w:val="18"/>
              </w:rPr>
              <w:t>Τόκους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before="70"/>
              <w:ind w:left="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853</w:t>
            </w:r>
          </w:p>
        </w:tc>
        <w:tc>
          <w:tcPr>
            <w:tcW w:w="1244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before="70"/>
              <w:ind w:right="1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853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before="70"/>
              <w:ind w:left="3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853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before="70"/>
              <w:ind w:left="304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853</w:t>
            </w:r>
          </w:p>
        </w:tc>
      </w:tr>
      <w:tr>
        <w:trPr>
          <w:trHeight w:val="412" w:hRule="atLeast"/>
        </w:trPr>
        <w:tc>
          <w:tcPr>
            <w:tcW w:w="3286" w:type="dxa"/>
          </w:tcPr>
          <w:p>
            <w:pPr>
              <w:pStyle w:val="TableParagraph"/>
              <w:spacing w:before="70"/>
              <w:ind w:left="50"/>
              <w:rPr>
                <w:sz w:val="18"/>
              </w:rPr>
            </w:pPr>
            <w:r>
              <w:rPr>
                <w:spacing w:val="-6"/>
                <w:sz w:val="18"/>
              </w:rPr>
              <w:t>Έσοδα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από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6"/>
                <w:sz w:val="18"/>
              </w:rPr>
              <w:t>αμοιβές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6"/>
                <w:sz w:val="18"/>
              </w:rPr>
              <w:t>υπηρεσιών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before="116"/>
              <w:ind w:left="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277</w:t>
            </w:r>
          </w:p>
        </w:tc>
        <w:tc>
          <w:tcPr>
            <w:tcW w:w="1244" w:type="dxa"/>
            <w:gridSpan w:val="2"/>
          </w:tcPr>
          <w:p>
            <w:pPr>
              <w:pStyle w:val="TableParagraph"/>
              <w:spacing w:before="82"/>
              <w:ind w:left="2" w:right="1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28032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54506</wp:posOffset>
                      </wp:positionV>
                      <wp:extent cx="469900" cy="516255"/>
                      <wp:effectExtent l="0" t="0" r="0" b="0"/>
                      <wp:wrapNone/>
                      <wp:docPr id="280" name="Group 2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0" name="Group 280"/>
                            <wpg:cNvGrpSpPr/>
                            <wpg:grpSpPr>
                              <a:xfrm>
                                <a:off x="0" y="0"/>
                                <a:ext cx="469900" cy="516255"/>
                                <a:chExt cx="469900" cy="516255"/>
                              </a:xfrm>
                            </wpg:grpSpPr>
                            <pic:pic>
                              <pic:nvPicPr>
                                <pic:cNvPr id="281" name="Image 281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550" y="229615"/>
                                  <a:ext cx="387350" cy="85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82" name="Image 282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694" y="430251"/>
                                  <a:ext cx="287654" cy="856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377507" y="70865"/>
                                  <a:ext cx="1270" cy="395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395605">
                                      <a:moveTo>
                                        <a:pt x="0" y="3956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A5A5A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84" name="Image 284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147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5pt;margin-top:4.291887pt;width:37pt;height:40.65pt;mso-position-horizontal-relative:column;mso-position-vertical-relative:paragraph;z-index:-18088448" id="docshapegroup255" coordorigin="650,86" coordsize="740,813">
                      <v:shape style="position:absolute;left:780;top:447;width:610;height:135" type="#_x0000_t75" id="docshape256" stroked="false">
                        <v:imagedata r:id="rId25" o:title=""/>
                      </v:shape>
                      <v:shape style="position:absolute;left:807;top:763;width:453;height:135" type="#_x0000_t75" id="docshape257" stroked="false">
                        <v:imagedata r:id="rId26" o:title=""/>
                      </v:shape>
                      <v:line style="position:absolute" from="1244,820" to="1244,197" stroked="true" strokeweight=".74994pt" strokecolor="#a5a5a5">
                        <v:stroke dashstyle="solid"/>
                      </v:line>
                      <v:shape style="position:absolute;left:650;top:85;width:585;height:255" type="#_x0000_t75" id="docshape258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18"/>
              </w:rPr>
              <w:t>49</w:t>
            </w:r>
          </w:p>
        </w:tc>
        <w:tc>
          <w:tcPr>
            <w:tcW w:w="995" w:type="dxa"/>
          </w:tcPr>
          <w:p>
            <w:pPr>
              <w:pStyle w:val="TableParagraph"/>
              <w:spacing w:before="72"/>
              <w:ind w:right="12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326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before="116"/>
              <w:ind w:left="3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326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6"/>
              <w:ind w:left="178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(49)</w:t>
            </w:r>
          </w:p>
        </w:tc>
        <w:tc>
          <w:tcPr>
            <w:tcW w:w="1244" w:type="dxa"/>
          </w:tcPr>
          <w:p>
            <w:pPr>
              <w:pStyle w:val="TableParagraph"/>
              <w:spacing w:before="116"/>
              <w:ind w:left="304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277</w:t>
            </w:r>
          </w:p>
        </w:tc>
      </w:tr>
      <w:tr>
        <w:trPr>
          <w:trHeight w:val="238" w:hRule="atLeast"/>
        </w:trPr>
        <w:tc>
          <w:tcPr>
            <w:tcW w:w="3286" w:type="dxa"/>
          </w:tcPr>
          <w:p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w w:val="90"/>
                <w:sz w:val="18"/>
              </w:rPr>
              <w:t>Αποτελέσματα</w:t>
            </w:r>
            <w:r>
              <w:rPr>
                <w:spacing w:val="27"/>
                <w:sz w:val="18"/>
              </w:rPr>
              <w:t> </w:t>
            </w:r>
            <w:r>
              <w:rPr>
                <w:w w:val="90"/>
                <w:sz w:val="18"/>
              </w:rPr>
              <w:t>Χρημ/κών</w:t>
            </w:r>
            <w:r>
              <w:rPr>
                <w:spacing w:val="25"/>
                <w:sz w:val="18"/>
              </w:rPr>
              <w:t> </w:t>
            </w:r>
            <w:r>
              <w:rPr>
                <w:spacing w:val="-2"/>
                <w:w w:val="90"/>
                <w:sz w:val="18"/>
              </w:rPr>
              <w:t>Πράξεων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line="201" w:lineRule="exact"/>
              <w:ind w:left="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(33)</w:t>
            </w:r>
          </w:p>
        </w:tc>
        <w:tc>
          <w:tcPr>
            <w:tcW w:w="1153" w:type="dxa"/>
          </w:tcPr>
          <w:p>
            <w:pPr>
              <w:pStyle w:val="TableParagraph"/>
              <w:spacing w:line="201" w:lineRule="exact"/>
              <w:ind w:left="6" w:right="3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45</w:t>
            </w:r>
          </w:p>
        </w:tc>
        <w:tc>
          <w:tcPr>
            <w:tcW w:w="1086" w:type="dxa"/>
            <w:gridSpan w:val="2"/>
          </w:tcPr>
          <w:p>
            <w:pPr>
              <w:pStyle w:val="TableParagraph"/>
              <w:spacing w:line="191" w:lineRule="exact" w:before="27"/>
              <w:ind w:righ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11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line="201" w:lineRule="exact"/>
              <w:ind w:left="3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11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line="201" w:lineRule="exact"/>
              <w:ind w:left="304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11</w:t>
            </w:r>
          </w:p>
        </w:tc>
      </w:tr>
      <w:tr>
        <w:trPr>
          <w:trHeight w:val="264" w:hRule="atLeast"/>
        </w:trPr>
        <w:tc>
          <w:tcPr>
            <w:tcW w:w="328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4"/>
                <w:sz w:val="18"/>
              </w:rPr>
              <w:t>Λοιπά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Έσοδα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before="36"/>
              <w:ind w:left="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73</w:t>
            </w:r>
          </w:p>
        </w:tc>
        <w:tc>
          <w:tcPr>
            <w:tcW w:w="1153" w:type="dxa"/>
          </w:tcPr>
          <w:p>
            <w:pPr>
              <w:pStyle w:val="TableParagraph"/>
              <w:spacing w:before="34"/>
              <w:ind w:left="6" w:right="3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(49)</w:t>
            </w:r>
          </w:p>
        </w:tc>
        <w:tc>
          <w:tcPr>
            <w:tcW w:w="1086" w:type="dxa"/>
            <w:gridSpan w:val="2"/>
          </w:tcPr>
          <w:p>
            <w:pPr>
              <w:pStyle w:val="TableParagraph"/>
              <w:spacing w:before="36"/>
              <w:ind w:righ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24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before="36"/>
              <w:ind w:left="3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24</w:t>
            </w:r>
          </w:p>
        </w:tc>
        <w:tc>
          <w:tcPr>
            <w:tcW w:w="1210" w:type="dxa"/>
          </w:tcPr>
          <w:p>
            <w:pPr>
              <w:pStyle w:val="TableParagraph"/>
              <w:spacing w:before="36"/>
              <w:ind w:left="17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49</w:t>
            </w:r>
          </w:p>
        </w:tc>
        <w:tc>
          <w:tcPr>
            <w:tcW w:w="1244" w:type="dxa"/>
          </w:tcPr>
          <w:p>
            <w:pPr>
              <w:pStyle w:val="TableParagraph"/>
              <w:spacing w:before="36"/>
              <w:ind w:left="304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73</w:t>
            </w:r>
          </w:p>
        </w:tc>
      </w:tr>
      <w:tr>
        <w:trPr>
          <w:trHeight w:val="295" w:hRule="atLeast"/>
        </w:trPr>
        <w:tc>
          <w:tcPr>
            <w:tcW w:w="3286" w:type="dxa"/>
          </w:tcPr>
          <w:p>
            <w:pPr>
              <w:pStyle w:val="TableParagraph"/>
              <w:spacing w:before="18"/>
              <w:ind w:left="5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Λειτουργικά Έσοδα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before="63"/>
              <w:ind w:left="2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1,169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6" w:type="dxa"/>
            <w:gridSpan w:val="2"/>
          </w:tcPr>
          <w:p>
            <w:pPr>
              <w:pStyle w:val="TableParagraph"/>
              <w:spacing w:before="63"/>
              <w:ind w:left="2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1,214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before="63"/>
              <w:ind w:left="1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1,214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before="63"/>
              <w:ind w:left="304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1,214</w:t>
            </w:r>
          </w:p>
        </w:tc>
      </w:tr>
      <w:tr>
        <w:trPr>
          <w:trHeight w:val="300" w:hRule="atLeast"/>
        </w:trPr>
        <w:tc>
          <w:tcPr>
            <w:tcW w:w="3286" w:type="dxa"/>
          </w:tcPr>
          <w:p>
            <w:pPr>
              <w:pStyle w:val="TableParagraph"/>
              <w:spacing w:before="22"/>
              <w:ind w:left="50"/>
              <w:rPr>
                <w:sz w:val="18"/>
              </w:rPr>
            </w:pPr>
            <w:r>
              <w:rPr>
                <w:spacing w:val="-4"/>
                <w:sz w:val="18"/>
              </w:rPr>
              <w:t>Αμοιβές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και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Έξοδα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Προσωπικού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before="68"/>
              <w:ind w:left="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(225)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6" w:type="dxa"/>
            <w:gridSpan w:val="2"/>
          </w:tcPr>
          <w:p>
            <w:pPr>
              <w:pStyle w:val="TableParagraph"/>
              <w:spacing w:before="68"/>
              <w:ind w:left="31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(225)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before="68"/>
              <w:ind w:left="4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(225)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before="68"/>
              <w:ind w:left="304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(225)</w:t>
            </w:r>
          </w:p>
        </w:tc>
      </w:tr>
      <w:tr>
        <w:trPr>
          <w:trHeight w:val="300" w:hRule="atLeast"/>
        </w:trPr>
        <w:tc>
          <w:tcPr>
            <w:tcW w:w="3286" w:type="dxa"/>
          </w:tcPr>
          <w:p>
            <w:pPr>
              <w:pStyle w:val="TableParagraph"/>
              <w:spacing w:before="22"/>
              <w:ind w:left="50"/>
              <w:rPr>
                <w:sz w:val="18"/>
              </w:rPr>
            </w:pPr>
            <w:r>
              <w:rPr>
                <w:spacing w:val="-6"/>
                <w:sz w:val="18"/>
              </w:rPr>
              <w:t>Γενικά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6"/>
                <w:sz w:val="18"/>
              </w:rPr>
              <w:t>Διοικητικά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Έξοδα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before="68"/>
              <w:ind w:left="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(173)</w:t>
            </w:r>
          </w:p>
        </w:tc>
        <w:tc>
          <w:tcPr>
            <w:tcW w:w="1153" w:type="dxa"/>
          </w:tcPr>
          <w:p>
            <w:pPr>
              <w:pStyle w:val="TableParagraph"/>
              <w:spacing w:before="68"/>
              <w:ind w:right="3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227520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65809</wp:posOffset>
                      </wp:positionV>
                      <wp:extent cx="306070" cy="693420"/>
                      <wp:effectExtent l="0" t="0" r="0" b="0"/>
                      <wp:wrapNone/>
                      <wp:docPr id="285" name="Group 2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5" name="Group 285"/>
                            <wpg:cNvGrpSpPr/>
                            <wpg:grpSpPr>
                              <a:xfrm>
                                <a:off x="0" y="0"/>
                                <a:ext cx="306070" cy="693420"/>
                                <a:chExt cx="306070" cy="693420"/>
                              </a:xfrm>
                            </wpg:grpSpPr>
                            <pic:pic>
                              <pic:nvPicPr>
                                <pic:cNvPr id="286" name="Image 286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275" cy="85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18415" y="617219"/>
                                  <a:ext cx="28765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655" h="76200">
                                      <a:moveTo>
                                        <a:pt x="76200" y="0"/>
                                      </a:moveTo>
                                      <a:lnTo>
                                        <a:pt x="0" y="38100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76200" y="42925"/>
                                      </a:lnTo>
                                      <a:lnTo>
                                        <a:pt x="63500" y="42925"/>
                                      </a:lnTo>
                                      <a:lnTo>
                                        <a:pt x="63500" y="33400"/>
                                      </a:lnTo>
                                      <a:lnTo>
                                        <a:pt x="76200" y="3340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  <a:path w="287655" h="76200">
                                      <a:moveTo>
                                        <a:pt x="76200" y="33400"/>
                                      </a:moveTo>
                                      <a:lnTo>
                                        <a:pt x="63500" y="33400"/>
                                      </a:lnTo>
                                      <a:lnTo>
                                        <a:pt x="63500" y="42925"/>
                                      </a:lnTo>
                                      <a:lnTo>
                                        <a:pt x="76200" y="42925"/>
                                      </a:lnTo>
                                      <a:lnTo>
                                        <a:pt x="76200" y="33400"/>
                                      </a:lnTo>
                                      <a:close/>
                                    </a:path>
                                    <a:path w="287655" h="76200">
                                      <a:moveTo>
                                        <a:pt x="287654" y="33400"/>
                                      </a:moveTo>
                                      <a:lnTo>
                                        <a:pt x="76200" y="33400"/>
                                      </a:lnTo>
                                      <a:lnTo>
                                        <a:pt x="76200" y="42925"/>
                                      </a:lnTo>
                                      <a:lnTo>
                                        <a:pt x="287654" y="42925"/>
                                      </a:lnTo>
                                      <a:lnTo>
                                        <a:pt x="287654" y="33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288290" y="43561"/>
                                  <a:ext cx="1270" cy="611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611505">
                                      <a:moveTo>
                                        <a:pt x="0" y="0"/>
                                      </a:moveTo>
                                      <a:lnTo>
                                        <a:pt x="0" y="61150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A6A6A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950001pt;margin-top:5.181878pt;width:24.1pt;height:54.6pt;mso-position-horizontal-relative:column;mso-position-vertical-relative:paragraph;z-index:-18088960" id="docshapegroup259" coordorigin="699,104" coordsize="482,1092">
                      <v:shape style="position:absolute;left:699;top:103;width:465;height:135" type="#_x0000_t75" id="docshape260" stroked="false">
                        <v:imagedata r:id="rId26" o:title=""/>
                      </v:shape>
                      <v:shape style="position:absolute;left:728;top:1075;width:453;height:120" id="docshape261" coordorigin="728,1076" coordsize="453,120" path="m848,1076l728,1136,848,1196,848,1143,828,1143,828,1128,848,1128,848,1076xm848,1128l828,1128,828,1143,848,1143,848,1128xm1181,1128l848,1128,848,1143,1181,1143,1181,1128xe" filled="true" fillcolor="#a6a6a6" stroked="false">
                        <v:path arrowok="t"/>
                        <v:fill type="solid"/>
                      </v:shape>
                      <v:line style="position:absolute" from="1153,172" to="1153,1135" stroked="true" strokeweight=".75pt" strokecolor="#a6a6a6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1086" w:type="dxa"/>
            <w:gridSpan w:val="2"/>
          </w:tcPr>
          <w:p>
            <w:pPr>
              <w:pStyle w:val="TableParagraph"/>
              <w:spacing w:before="27"/>
              <w:ind w:left="313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(170)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before="68"/>
              <w:ind w:left="4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(170)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before="68"/>
              <w:ind w:left="304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(170)</w:t>
            </w:r>
          </w:p>
        </w:tc>
      </w:tr>
      <w:tr>
        <w:trPr>
          <w:trHeight w:val="252" w:hRule="atLeast"/>
        </w:trPr>
        <w:tc>
          <w:tcPr>
            <w:tcW w:w="3286" w:type="dxa"/>
          </w:tcPr>
          <w:p>
            <w:pPr>
              <w:pStyle w:val="TableParagraph"/>
              <w:spacing w:line="210" w:lineRule="exact" w:before="22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Αποσβέσεις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line="198" w:lineRule="exact" w:before="34"/>
              <w:ind w:left="3"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(73)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6" w:type="dxa"/>
            <w:gridSpan w:val="2"/>
          </w:tcPr>
          <w:p>
            <w:pPr>
              <w:pStyle w:val="TableParagraph"/>
              <w:spacing w:line="198" w:lineRule="exact" w:before="34"/>
              <w:ind w:left="1" w:righ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(73)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line="198" w:lineRule="exact" w:before="34"/>
              <w:ind w:left="4"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(73)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line="198" w:lineRule="exact" w:before="34"/>
              <w:ind w:left="304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(73)</w:t>
            </w:r>
          </w:p>
        </w:tc>
      </w:tr>
      <w:tr>
        <w:trPr>
          <w:trHeight w:val="453" w:hRule="atLeast"/>
        </w:trPr>
        <w:tc>
          <w:tcPr>
            <w:tcW w:w="3286" w:type="dxa"/>
          </w:tcPr>
          <w:p>
            <w:pPr>
              <w:pStyle w:val="TableParagraph"/>
              <w:spacing w:line="224" w:lineRule="exact"/>
              <w:ind w:left="5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Επαναλαμβανόμενα</w:t>
            </w:r>
            <w:r>
              <w:rPr>
                <w:rFonts w:ascii="Tahoma" w:hAnsi="Tahoma"/>
                <w:b/>
                <w:spacing w:val="-12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Λειτουργικά </w:t>
            </w:r>
            <w:r>
              <w:rPr>
                <w:rFonts w:ascii="Tahoma" w:hAnsi="Tahoma"/>
                <w:b/>
                <w:spacing w:val="-4"/>
                <w:sz w:val="18"/>
              </w:rPr>
              <w:t>Έξοδα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before="126"/>
              <w:ind w:left="3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(470)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6" w:type="dxa"/>
            <w:gridSpan w:val="2"/>
          </w:tcPr>
          <w:p>
            <w:pPr>
              <w:pStyle w:val="TableParagraph"/>
              <w:spacing w:before="126"/>
              <w:ind w:left="3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(468)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before="126"/>
              <w:ind w:left="4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(468)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before="126"/>
              <w:ind w:left="304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(468)</w:t>
            </w:r>
          </w:p>
        </w:tc>
      </w:tr>
      <w:tr>
        <w:trPr>
          <w:trHeight w:val="266" w:hRule="atLeast"/>
        </w:trPr>
        <w:tc>
          <w:tcPr>
            <w:tcW w:w="3286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7"/>
                <w:sz w:val="18"/>
              </w:rPr>
              <w:t>Εξαιρούμενα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Κονδύλια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before="39"/>
              <w:ind w:right="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  <w:tc>
          <w:tcPr>
            <w:tcW w:w="1153" w:type="dxa"/>
          </w:tcPr>
          <w:p>
            <w:pPr>
              <w:pStyle w:val="TableParagraph"/>
              <w:spacing w:before="5"/>
              <w:ind w:left="1" w:right="3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(2)</w:t>
            </w:r>
          </w:p>
        </w:tc>
        <w:tc>
          <w:tcPr>
            <w:tcW w:w="1086" w:type="dxa"/>
            <w:gridSpan w:val="2"/>
          </w:tcPr>
          <w:p>
            <w:pPr>
              <w:pStyle w:val="TableParagraph"/>
              <w:spacing w:before="39"/>
              <w:ind w:left="1" w:righ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(2)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before="39"/>
              <w:ind w:right="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(2)</w:t>
            </w:r>
          </w:p>
        </w:tc>
        <w:tc>
          <w:tcPr>
            <w:tcW w:w="1210" w:type="dxa"/>
          </w:tcPr>
          <w:p>
            <w:pPr>
              <w:pStyle w:val="TableParagraph"/>
              <w:spacing w:before="39"/>
              <w:ind w:left="178" w:right="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1244" w:type="dxa"/>
          </w:tcPr>
          <w:p>
            <w:pPr>
              <w:pStyle w:val="TableParagraph"/>
              <w:spacing w:before="39"/>
              <w:ind w:left="304" w:righ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0</w:t>
            </w:r>
          </w:p>
        </w:tc>
      </w:tr>
      <w:tr>
        <w:trPr>
          <w:trHeight w:val="291" w:hRule="atLeast"/>
        </w:trPr>
        <w:tc>
          <w:tcPr>
            <w:tcW w:w="3286" w:type="dxa"/>
          </w:tcPr>
          <w:p>
            <w:pPr>
              <w:pStyle w:val="TableParagraph"/>
              <w:spacing w:before="18"/>
              <w:ind w:left="5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Συνολικά</w:t>
            </w:r>
            <w:r>
              <w:rPr>
                <w:rFonts w:ascii="Tahoma" w:hAnsi="Tahoma"/>
                <w:b/>
                <w:spacing w:val="-4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Λειτουργικά</w:t>
            </w:r>
            <w:r>
              <w:rPr>
                <w:rFonts w:ascii="Tahoma" w:hAnsi="Tahoma"/>
                <w:b/>
                <w:spacing w:val="-5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Έξοδα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line="206" w:lineRule="exact" w:before="65"/>
              <w:ind w:left="3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(470)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6" w:type="dxa"/>
            <w:gridSpan w:val="2"/>
          </w:tcPr>
          <w:p>
            <w:pPr>
              <w:pStyle w:val="TableParagraph"/>
              <w:spacing w:line="206" w:lineRule="exact" w:before="65"/>
              <w:ind w:left="3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(470)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line="206" w:lineRule="exact" w:before="65"/>
              <w:ind w:left="4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(470)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line="206" w:lineRule="exact" w:before="65"/>
              <w:ind w:left="304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(468)</w:t>
            </w:r>
          </w:p>
        </w:tc>
      </w:tr>
      <w:tr>
        <w:trPr>
          <w:trHeight w:val="244" w:hRule="atLeast"/>
        </w:trPr>
        <w:tc>
          <w:tcPr>
            <w:tcW w:w="3286" w:type="dxa"/>
          </w:tcPr>
          <w:p>
            <w:pPr>
              <w:pStyle w:val="TableParagraph"/>
              <w:spacing w:line="209" w:lineRule="exact" w:before="15"/>
              <w:ind w:left="50"/>
              <w:rPr>
                <w:b/>
                <w:i/>
                <w:sz w:val="19"/>
              </w:rPr>
            </w:pPr>
            <w:r>
              <w:rPr>
                <w:b/>
                <w:i/>
                <w:w w:val="80"/>
                <w:sz w:val="19"/>
              </w:rPr>
              <w:t>Κύριο</w:t>
            </w:r>
            <w:r>
              <w:rPr>
                <w:b/>
                <w:i/>
                <w:spacing w:val="8"/>
                <w:sz w:val="19"/>
              </w:rPr>
              <w:t> </w:t>
            </w:r>
            <w:r>
              <w:rPr>
                <w:b/>
                <w:i/>
                <w:w w:val="80"/>
                <w:sz w:val="19"/>
              </w:rPr>
              <w:t>Αποτέλεσμα</w:t>
            </w:r>
            <w:r>
              <w:rPr>
                <w:b/>
                <w:i/>
                <w:spacing w:val="8"/>
                <w:sz w:val="19"/>
              </w:rPr>
              <w:t> </w:t>
            </w:r>
            <w:r>
              <w:rPr>
                <w:b/>
                <w:i/>
                <w:spacing w:val="-5"/>
                <w:w w:val="80"/>
                <w:sz w:val="19"/>
              </w:rPr>
              <w:t>προ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6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286" w:type="dxa"/>
          </w:tcPr>
          <w:p>
            <w:pPr>
              <w:pStyle w:val="TableParagraph"/>
              <w:spacing w:line="218" w:lineRule="exact"/>
              <w:ind w:left="50"/>
              <w:rPr>
                <w:b/>
                <w:i/>
                <w:sz w:val="19"/>
              </w:rPr>
            </w:pPr>
            <w:r>
              <w:rPr>
                <w:b/>
                <w:i/>
                <w:spacing w:val="-2"/>
                <w:w w:val="90"/>
                <w:sz w:val="19"/>
              </w:rPr>
              <w:t>Προβλέψεων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line="113" w:lineRule="exact"/>
              <w:ind w:left="3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732</w:t>
            </w:r>
          </w:p>
        </w:tc>
        <w:tc>
          <w:tcPr>
            <w:tcW w:w="2239" w:type="dxa"/>
            <w:gridSpan w:val="3"/>
          </w:tcPr>
          <w:p>
            <w:pPr>
              <w:pStyle w:val="TableParagraph"/>
              <w:spacing w:line="113" w:lineRule="exact"/>
              <w:ind w:right="4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735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line="113" w:lineRule="exact"/>
              <w:ind w:left="3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735</w:t>
            </w:r>
          </w:p>
        </w:tc>
        <w:tc>
          <w:tcPr>
            <w:tcW w:w="2454" w:type="dxa"/>
            <w:gridSpan w:val="2"/>
          </w:tcPr>
          <w:p>
            <w:pPr>
              <w:pStyle w:val="TableParagraph"/>
              <w:spacing w:line="113" w:lineRule="exact"/>
              <w:ind w:right="31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735</w:t>
            </w:r>
          </w:p>
        </w:tc>
      </w:tr>
      <w:tr>
        <w:trPr>
          <w:trHeight w:val="252" w:hRule="atLeast"/>
        </w:trPr>
        <w:tc>
          <w:tcPr>
            <w:tcW w:w="3286" w:type="dxa"/>
          </w:tcPr>
          <w:p>
            <w:pPr>
              <w:pStyle w:val="TableParagraph"/>
              <w:ind w:left="5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4"/>
                <w:sz w:val="18"/>
              </w:rPr>
              <w:t>Αποτέλεσμα</w:t>
            </w:r>
            <w:r>
              <w:rPr>
                <w:rFonts w:ascii="Tahoma" w:hAnsi="Tahoma"/>
                <w:b/>
                <w:spacing w:val="-2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προ</w:t>
            </w:r>
            <w:r>
              <w:rPr>
                <w:rFonts w:ascii="Tahoma" w:hAnsi="Tahoma"/>
                <w:b/>
                <w:spacing w:val="-1"/>
                <w:sz w:val="18"/>
              </w:rPr>
              <w:t> </w:t>
            </w:r>
            <w:r>
              <w:rPr>
                <w:rFonts w:ascii="Tahoma" w:hAnsi="Tahoma"/>
                <w:b/>
                <w:spacing w:val="-4"/>
                <w:sz w:val="18"/>
              </w:rPr>
              <w:t>Προβλέψεων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line="187" w:lineRule="exact" w:before="45"/>
              <w:ind w:left="3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699</w:t>
            </w:r>
          </w:p>
        </w:tc>
        <w:tc>
          <w:tcPr>
            <w:tcW w:w="2239" w:type="dxa"/>
            <w:gridSpan w:val="3"/>
          </w:tcPr>
          <w:p>
            <w:pPr>
              <w:pStyle w:val="TableParagraph"/>
              <w:spacing w:line="187" w:lineRule="exact" w:before="45"/>
              <w:ind w:right="40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744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line="187" w:lineRule="exact" w:before="45"/>
              <w:ind w:left="3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744</w:t>
            </w:r>
          </w:p>
        </w:tc>
        <w:tc>
          <w:tcPr>
            <w:tcW w:w="2454" w:type="dxa"/>
            <w:gridSpan w:val="2"/>
          </w:tcPr>
          <w:p>
            <w:pPr>
              <w:pStyle w:val="TableParagraph"/>
              <w:spacing w:line="187" w:lineRule="exact" w:before="45"/>
              <w:ind w:right="31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746</w:t>
            </w:r>
          </w:p>
        </w:tc>
      </w:tr>
      <w:tr>
        <w:trPr>
          <w:trHeight w:val="376" w:hRule="atLeast"/>
        </w:trPr>
        <w:tc>
          <w:tcPr>
            <w:tcW w:w="3286" w:type="dxa"/>
          </w:tcPr>
          <w:p>
            <w:pPr>
              <w:pStyle w:val="TableParagraph"/>
              <w:spacing w:before="48"/>
              <w:ind w:left="50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pacing w:val="-2"/>
                <w:sz w:val="18"/>
              </w:rPr>
              <w:t>Ζημίες</w:t>
            </w:r>
            <w:r>
              <w:rPr>
                <w:rFonts w:ascii="Tahoma" w:hAnsi="Tahoma"/>
                <w:b/>
                <w:spacing w:val="-8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Απομείωσης</w:t>
            </w:r>
            <w:r>
              <w:rPr>
                <w:rFonts w:ascii="Tahoma" w:hAnsi="Tahoma"/>
                <w:b/>
                <w:spacing w:val="-8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για</w:t>
            </w:r>
            <w:r>
              <w:rPr>
                <w:rFonts w:ascii="Tahoma" w:hAnsi="Tahoma"/>
                <w:b/>
                <w:spacing w:val="-8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την</w:t>
            </w:r>
            <w:r>
              <w:rPr>
                <w:rFonts w:ascii="Tahoma" w:hAnsi="Tahoma"/>
                <w:b/>
                <w:spacing w:val="-10"/>
                <w:sz w:val="18"/>
              </w:rPr>
              <w:t> </w:t>
            </w:r>
            <w:r>
              <w:rPr>
                <w:rFonts w:ascii="Tahoma" w:hAnsi="Tahoma"/>
                <w:b/>
                <w:spacing w:val="-2"/>
                <w:sz w:val="18"/>
              </w:rPr>
              <w:t>κάλυψη</w:t>
            </w:r>
          </w:p>
        </w:tc>
        <w:tc>
          <w:tcPr>
            <w:tcW w:w="1205" w:type="dxa"/>
            <w:shd w:val="clear" w:color="auto" w:fill="C5D9F0"/>
          </w:tcPr>
          <w:p>
            <w:pPr>
              <w:pStyle w:val="TableParagraph"/>
              <w:spacing w:line="187" w:lineRule="exact" w:before="170"/>
              <w:ind w:left="3" w:right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62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27710</wp:posOffset>
                      </wp:positionV>
                      <wp:extent cx="765175" cy="288290"/>
                      <wp:effectExtent l="0" t="0" r="0" b="0"/>
                      <wp:wrapNone/>
                      <wp:docPr id="289" name="Group 2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9" name="Group 289"/>
                            <wpg:cNvGrpSpPr/>
                            <wpg:grpSpPr>
                              <a:xfrm>
                                <a:off x="0" y="0"/>
                                <a:ext cx="765175" cy="288290"/>
                                <a:chExt cx="765175" cy="288290"/>
                              </a:xfrm>
                            </wpg:grpSpPr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0" y="0"/>
                                  <a:ext cx="76517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5175" h="288290">
                                      <a:moveTo>
                                        <a:pt x="765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765047" y="288036"/>
                                      </a:lnTo>
                                      <a:lnTo>
                                        <a:pt x="765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2.181909pt;width:60.25pt;height:22.7pt;mso-position-horizontal-relative:column;mso-position-vertical-relative:paragraph;z-index:15756288" id="docshapegroup262" coordorigin="0,44" coordsize="1205,454">
                      <v:rect style="position:absolute;left:0;top:43;width:1205;height:454" id="docshape263" filled="true" fillcolor="#c5d9f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8"/>
              </w:rPr>
              <w:t>(122)</w:t>
            </w:r>
          </w:p>
        </w:tc>
        <w:tc>
          <w:tcPr>
            <w:tcW w:w="1153" w:type="dxa"/>
          </w:tcPr>
          <w:p>
            <w:pPr>
              <w:pStyle w:val="TableParagraph"/>
              <w:spacing w:line="187" w:lineRule="exact" w:before="170"/>
              <w:ind w:left="6" w:right="3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</w:t>
            </w:r>
          </w:p>
        </w:tc>
        <w:tc>
          <w:tcPr>
            <w:tcW w:w="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line="187" w:lineRule="exact" w:before="170"/>
              <w:ind w:right="1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(93)</w:t>
            </w:r>
          </w:p>
        </w:tc>
        <w:tc>
          <w:tcPr>
            <w:tcW w:w="1203" w:type="dxa"/>
            <w:shd w:val="clear" w:color="auto" w:fill="C5D9F0"/>
          </w:tcPr>
          <w:p>
            <w:pPr>
              <w:pStyle w:val="TableParagraph"/>
              <w:spacing w:line="187" w:lineRule="exact" w:before="170"/>
              <w:ind w:left="4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68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27710</wp:posOffset>
                      </wp:positionV>
                      <wp:extent cx="763905" cy="288290"/>
                      <wp:effectExtent l="0" t="0" r="0" b="0"/>
                      <wp:wrapNone/>
                      <wp:docPr id="291" name="Group 2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1" name="Group 291"/>
                            <wpg:cNvGrpSpPr/>
                            <wpg:grpSpPr>
                              <a:xfrm>
                                <a:off x="0" y="0"/>
                                <a:ext cx="763905" cy="288290"/>
                                <a:chExt cx="763905" cy="288290"/>
                              </a:xfrm>
                            </wpg:grpSpPr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0" y="0"/>
                                  <a:ext cx="76390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3905" h="288290">
                                      <a:moveTo>
                                        <a:pt x="7638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763828" y="288036"/>
                                      </a:lnTo>
                                      <a:lnTo>
                                        <a:pt x="7638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2.181909pt;width:60.15pt;height:22.7pt;mso-position-horizontal-relative:column;mso-position-vertical-relative:paragraph;z-index:15756800" id="docshapegroup264" coordorigin="0,44" coordsize="1203,454">
                      <v:rect style="position:absolute;left:0;top:43;width:1203;height:454" id="docshape265" filled="true" fillcolor="#c5d9f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8"/>
              </w:rPr>
              <w:t>(93)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line="187" w:lineRule="exact" w:before="170"/>
              <w:ind w:left="304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(93)</w:t>
            </w:r>
          </w:p>
        </w:tc>
      </w:tr>
    </w:tbl>
    <w:p>
      <w:pPr>
        <w:pStyle w:val="BodyText"/>
        <w:spacing w:before="11"/>
        <w:rPr>
          <w:rFonts w:ascii="Tahoma"/>
          <w:b/>
          <w:sz w:val="10"/>
        </w:rPr>
      </w:pPr>
    </w:p>
    <w:p>
      <w:pPr>
        <w:tabs>
          <w:tab w:pos="7105" w:val="left" w:leader="none"/>
        </w:tabs>
        <w:spacing w:line="240" w:lineRule="auto"/>
        <w:ind w:left="3661" w:right="0" w:firstLine="0"/>
        <w:rPr>
          <w:rFonts w:ascii="Tahoma"/>
          <w:sz w:val="20"/>
        </w:rPr>
      </w:pP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765175" cy="762000"/>
                <wp:effectExtent l="0" t="0" r="0" b="0"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765175" cy="762000"/>
                          <a:chExt cx="765175" cy="762000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0" y="0"/>
                            <a:ext cx="765175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175" h="762000">
                                <a:moveTo>
                                  <a:pt x="765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762000"/>
                                </a:lnTo>
                                <a:lnTo>
                                  <a:pt x="765048" y="762000"/>
                                </a:lnTo>
                                <a:lnTo>
                                  <a:pt x="765048" y="571500"/>
                                </a:lnTo>
                                <a:lnTo>
                                  <a:pt x="765048" y="381000"/>
                                </a:lnTo>
                                <a:lnTo>
                                  <a:pt x="765048" y="190500"/>
                                </a:lnTo>
                                <a:lnTo>
                                  <a:pt x="765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25pt;height:60pt;mso-position-horizontal-relative:char;mso-position-vertical-relative:line" id="docshapegroup266" coordorigin="0,0" coordsize="1205,1200">
                <v:shape style="position:absolute;left:0;top:0;width:1205;height:1200" id="docshape267" coordorigin="0,0" coordsize="1205,1200" path="m1205,0l0,0,0,300,0,600,0,900,0,1200,1205,1200,1205,900,1205,600,1205,300,1205,0xe" filled="true" fillcolor="#c5d9f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ahoma"/>
          <w:sz w:val="20"/>
        </w:rPr>
      </w:r>
      <w:r>
        <w:rPr>
          <w:rFonts w:ascii="Tahoma"/>
          <w:sz w:val="20"/>
        </w:rPr>
        <w:tab/>
      </w:r>
      <w:r>
        <w:rPr>
          <w:rFonts w:ascii="Tahoma"/>
          <w:sz w:val="20"/>
        </w:rPr>
        <mc:AlternateContent>
          <mc:Choice Requires="wps">
            <w:drawing>
              <wp:inline distT="0" distB="0" distL="0" distR="0">
                <wp:extent cx="763905" cy="762000"/>
                <wp:effectExtent l="0" t="0" r="0" b="0"/>
                <wp:docPr id="295" name="Group 2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5" name="Group 295"/>
                      <wpg:cNvGrpSpPr/>
                      <wpg:grpSpPr>
                        <a:xfrm>
                          <a:off x="0" y="0"/>
                          <a:ext cx="763905" cy="762000"/>
                          <a:chExt cx="763905" cy="762000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0"/>
                            <a:ext cx="763905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905" h="762000">
                                <a:moveTo>
                                  <a:pt x="763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762000"/>
                                </a:lnTo>
                                <a:lnTo>
                                  <a:pt x="763828" y="762000"/>
                                </a:lnTo>
                                <a:lnTo>
                                  <a:pt x="763828" y="571500"/>
                                </a:lnTo>
                                <a:lnTo>
                                  <a:pt x="763828" y="381000"/>
                                </a:lnTo>
                                <a:lnTo>
                                  <a:pt x="763828" y="190500"/>
                                </a:lnTo>
                                <a:lnTo>
                                  <a:pt x="763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15pt;height:60pt;mso-position-horizontal-relative:char;mso-position-vertical-relative:line" id="docshapegroup268" coordorigin="0,0" coordsize="1203,1200">
                <v:shape style="position:absolute;left:0;top:0;width:1203;height:1200" id="docshape269" coordorigin="0,0" coordsize="1203,1200" path="m1203,0l0,0,0,300,0,600,0,900,0,1200,1203,1200,1203,900,1203,600,1203,300,1203,0xe" filled="true" fillcolor="#c5d9f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ahoma"/>
          <w:sz w:val="20"/>
        </w:rPr>
      </w:r>
    </w:p>
    <w:p>
      <w:pPr>
        <w:spacing w:after="0" w:line="240" w:lineRule="auto"/>
        <w:rPr>
          <w:rFonts w:ascii="Tahoma"/>
          <w:sz w:val="20"/>
        </w:rPr>
        <w:sectPr>
          <w:type w:val="continuous"/>
          <w:pgSz w:w="11920" w:h="16850"/>
          <w:pgMar w:header="639" w:footer="648" w:top="1940" w:bottom="280" w:left="283" w:right="425"/>
        </w:sectPr>
      </w:pPr>
    </w:p>
    <w:p>
      <w:pPr>
        <w:pStyle w:val="BodyText"/>
        <w:spacing w:before="202"/>
        <w:ind w:left="4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379729</wp:posOffset>
                </wp:positionH>
                <wp:positionV relativeFrom="paragraph">
                  <wp:posOffset>-919847</wp:posOffset>
                </wp:positionV>
                <wp:extent cx="6475095" cy="987425"/>
                <wp:effectExtent l="0" t="0" r="0" b="0"/>
                <wp:wrapNone/>
                <wp:docPr id="297" name="Textbox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Textbox 297"/>
                      <wps:cNvSpPr txBox="1"/>
                      <wps:spPr>
                        <a:xfrm>
                          <a:off x="0" y="0"/>
                          <a:ext cx="6475095" cy="987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08"/>
                              <w:gridCol w:w="1819"/>
                              <w:gridCol w:w="1721"/>
                              <w:gridCol w:w="1874"/>
                              <w:gridCol w:w="1455"/>
                            </w:tblGrid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3208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/>
                                    <w:ind w:left="50"/>
                                    <w:rPr>
                                      <w:rFonts w:ascii="Tahoma" w:hAnsi="Tahom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spacing w:val="-4"/>
                                      <w:sz w:val="18"/>
                                    </w:rPr>
                                    <w:t>πιστωτικού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4"/>
                                      <w:sz w:val="18"/>
                                    </w:rPr>
                                    <w:t>κινδύνου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4"/>
                                      <w:sz w:val="18"/>
                                    </w:rPr>
                                    <w:t>δανείων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o/w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Underlying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76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81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3208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o/w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servicing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8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right="476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481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3208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o/w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securitization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8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right="476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481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50" w:hRule="atLeast"/>
                              </w:trPr>
                              <w:tc>
                                <w:tcPr>
                                  <w:tcW w:w="3208" w:type="dxa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Λοιπές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Zημίες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Απομείωσης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8" w:lineRule="exact" w:before="81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Ζημιές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απομείωσης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παγίων και</w:t>
                                  </w:r>
                                </w:p>
                              </w:tc>
                              <w:tc>
                                <w:tcPr>
                                  <w:tcW w:w="1819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56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right="466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469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right="48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9pt;margin-top:-72.428925pt;width:509.85pt;height:77.75pt;mso-position-horizontal-relative:page;mso-position-vertical-relative:paragraph;z-index:15755264" type="#_x0000_t202" id="docshape27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08"/>
                        <w:gridCol w:w="1819"/>
                        <w:gridCol w:w="1721"/>
                        <w:gridCol w:w="1874"/>
                        <w:gridCol w:w="1455"/>
                      </w:tblGrid>
                      <w:tr>
                        <w:trPr>
                          <w:trHeight w:val="505" w:hRule="atLeast"/>
                        </w:trPr>
                        <w:tc>
                          <w:tcPr>
                            <w:tcW w:w="3208" w:type="dxa"/>
                          </w:tcPr>
                          <w:p>
                            <w:pPr>
                              <w:pStyle w:val="TableParagraph"/>
                              <w:spacing w:line="215" w:lineRule="exact"/>
                              <w:ind w:left="50"/>
                              <w:rPr>
                                <w:rFonts w:ascii="Tahoma" w:hAnsi="Tahom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18"/>
                              </w:rPr>
                              <w:t>πιστωτικού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18"/>
                              </w:rPr>
                              <w:t>κινδύνου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4"/>
                                <w:sz w:val="18"/>
                              </w:rPr>
                              <w:t>δανείων</w:t>
                            </w:r>
                          </w:p>
                          <w:p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o/w</w:t>
                            </w:r>
                            <w:r>
                              <w:rPr>
                                <w:spacing w:val="-4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Underlying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</w:tcPr>
                          <w:p>
                            <w:pPr>
                              <w:pStyle w:val="TableParagraph"/>
                              <w:spacing w:before="66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76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>
                            <w:pPr>
                              <w:pStyle w:val="TableParagraph"/>
                              <w:spacing w:before="66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81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3208" w:type="dxa"/>
                          </w:tcPr>
                          <w:p>
                            <w:pPr>
                              <w:pStyle w:val="TableParagraph"/>
                              <w:spacing w:before="22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o/w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servicing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90"/>
                                <w:sz w:val="18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right="476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left="481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3208" w:type="dxa"/>
                          </w:tcPr>
                          <w:p>
                            <w:pPr>
                              <w:pStyle w:val="TableParagraph"/>
                              <w:spacing w:before="22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o/w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securitization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0"/>
                                <w:sz w:val="18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right="476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left="481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50" w:hRule="atLeast"/>
                        </w:trPr>
                        <w:tc>
                          <w:tcPr>
                            <w:tcW w:w="3208" w:type="dxa"/>
                          </w:tcPr>
                          <w:p>
                            <w:pPr>
                              <w:pStyle w:val="TableParagraph"/>
                              <w:spacing w:before="22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Λοιπές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Zημίες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Απομείωσης</w:t>
                            </w:r>
                          </w:p>
                          <w:p>
                            <w:pPr>
                              <w:pStyle w:val="TableParagraph"/>
                              <w:spacing w:line="108" w:lineRule="exact" w:before="81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8"/>
                              </w:rPr>
                              <w:t>Ζημιές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απομείωσης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παγίων και</w:t>
                            </w:r>
                          </w:p>
                        </w:tc>
                        <w:tc>
                          <w:tcPr>
                            <w:tcW w:w="1819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left="56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right="466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874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left="469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right="48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2715132</wp:posOffset>
                </wp:positionH>
                <wp:positionV relativeFrom="page">
                  <wp:posOffset>5603271</wp:posOffset>
                </wp:positionV>
                <wp:extent cx="4203700" cy="3131185"/>
                <wp:effectExtent l="0" t="0" r="0" b="0"/>
                <wp:wrapNone/>
                <wp:docPr id="298" name="Textbox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Textbox 298"/>
                      <wps:cNvSpPr txBox="1"/>
                      <wps:spPr>
                        <a:xfrm>
                          <a:off x="0" y="0"/>
                          <a:ext cx="4203700" cy="3131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66"/>
                              <w:gridCol w:w="1166"/>
                              <w:gridCol w:w="1140"/>
                              <w:gridCol w:w="1255"/>
                              <w:gridCol w:w="1243"/>
                              <w:gridCol w:w="931"/>
                            </w:tblGrid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9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ind w:left="47" w:right="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ind w:right="9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line="201" w:lineRule="exact"/>
                                    <w:ind w:right="15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3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5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47" w:right="5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" w:right="20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right="9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right="15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5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5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(80)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47" w:right="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right="20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right="9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right="21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8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15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20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9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21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59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498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1" w:right="2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651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5" w:right="96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651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right="109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653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left="9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47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(157)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right="20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(161)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left="4" w:right="9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(161)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left="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right="49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(161)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9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ind w:left="59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495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ind w:left="1" w:right="2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490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ind w:left="5" w:right="96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490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ind w:right="109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493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8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5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FFFF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ind w:left="47" w:right="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" w:right="20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5" w:right="9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(10)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right="21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0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5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right="20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right="9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right="21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1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15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FFFFFF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ind w:left="47" w:right="5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1" w:right="20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right="96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(6)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left="1"/>
                                    <w:jc w:val="center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ind w:right="210"/>
                                    <w:jc w:val="right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5" w:hRule="atLeast"/>
                              </w:trPr>
                              <w:tc>
                                <w:tcPr>
                                  <w:tcW w:w="766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59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497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1" w:right="2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497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C5D9F0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5" w:right="96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497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1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right="109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495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789993pt;margin-top:441.202515pt;width:331pt;height:246.55pt;mso-position-horizontal-relative:page;mso-position-vertical-relative:page;z-index:15755776" type="#_x0000_t202" id="docshape27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66"/>
                        <w:gridCol w:w="1166"/>
                        <w:gridCol w:w="1140"/>
                        <w:gridCol w:w="1255"/>
                        <w:gridCol w:w="1243"/>
                        <w:gridCol w:w="931"/>
                      </w:tblGrid>
                      <w:tr>
                        <w:trPr>
                          <w:trHeight w:val="327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ind w:left="9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ind w:left="47" w:right="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ind w:right="9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line="201" w:lineRule="exact"/>
                              <w:ind w:right="15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(1)</w:t>
                            </w:r>
                          </w:p>
                        </w:tc>
                      </w:tr>
                      <w:tr>
                        <w:trPr>
                          <w:trHeight w:val="453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20"/>
                              <w:ind w:left="15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47" w:right="5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" w:right="20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20"/>
                              <w:ind w:right="9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right="15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(0)</w:t>
                            </w:r>
                          </w:p>
                        </w:tc>
                      </w:tr>
                      <w:tr>
                        <w:trPr>
                          <w:trHeight w:val="485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20"/>
                              <w:ind w:left="5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(80)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47" w:right="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right="20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20"/>
                              <w:ind w:right="9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right="21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518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2"/>
                              <w:ind w:left="15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right="20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2"/>
                              <w:ind w:right="9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right="21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426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2"/>
                              <w:ind w:left="59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498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left="1" w:right="2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651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2"/>
                              <w:ind w:left="5" w:right="96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651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right="109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653</w:t>
                            </w:r>
                          </w:p>
                        </w:tc>
                      </w:tr>
                      <w:tr>
                        <w:trPr>
                          <w:trHeight w:val="429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86"/>
                              <w:ind w:left="9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47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(157)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spacing w:before="86"/>
                              <w:ind w:right="20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(161)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86"/>
                              <w:ind w:left="4" w:right="9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(161)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spacing w:before="86"/>
                              <w:ind w:left="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86"/>
                              <w:ind w:right="49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(161)</w:t>
                            </w:r>
                          </w:p>
                        </w:tc>
                      </w:tr>
                      <w:tr>
                        <w:trPr>
                          <w:trHeight w:val="459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30"/>
                              <w:ind w:left="59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495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spacing w:before="130"/>
                              <w:ind w:left="1" w:right="2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490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30"/>
                              <w:ind w:left="5" w:right="96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490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130"/>
                              <w:ind w:right="109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493</w:t>
                            </w:r>
                          </w:p>
                        </w:tc>
                      </w:tr>
                      <w:tr>
                        <w:trPr>
                          <w:trHeight w:val="518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64"/>
                              <w:ind w:left="15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color w:val="FFFFFF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spacing w:before="116"/>
                              <w:ind w:left="47" w:right="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spacing w:before="164"/>
                              <w:ind w:left="1" w:right="20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64"/>
                              <w:ind w:left="5" w:right="9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spacing w:before="164"/>
                              <w:ind w:left="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(10)</w:t>
                            </w: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164"/>
                              <w:ind w:right="21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470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41"/>
                              <w:ind w:left="15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right="20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41"/>
                              <w:ind w:right="9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141"/>
                              <w:ind w:right="21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441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0"/>
                              <w:ind w:left="15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color w:val="FFFFFF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spacing w:before="116"/>
                              <w:ind w:left="47" w:right="5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spacing w:before="150"/>
                              <w:ind w:left="1" w:right="20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150"/>
                              <w:ind w:right="96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(6)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spacing w:before="150"/>
                              <w:ind w:left="1"/>
                              <w:jc w:val="center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150"/>
                              <w:ind w:right="210"/>
                              <w:jc w:val="righ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405" w:hRule="atLeast"/>
                        </w:trPr>
                        <w:tc>
                          <w:tcPr>
                            <w:tcW w:w="766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78"/>
                              <w:ind w:left="59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497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left="1" w:right="2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497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C5D9F0"/>
                          </w:tcPr>
                          <w:p>
                            <w:pPr>
                              <w:pStyle w:val="TableParagraph"/>
                              <w:spacing w:before="78"/>
                              <w:ind w:left="5" w:right="96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497</w:t>
                            </w:r>
                          </w:p>
                        </w:tc>
                        <w:tc>
                          <w:tcPr>
                            <w:tcW w:w="1243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left="1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931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right="109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495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2504567</wp:posOffset>
                </wp:positionH>
                <wp:positionV relativeFrom="page">
                  <wp:posOffset>5518987</wp:posOffset>
                </wp:positionV>
                <wp:extent cx="765175" cy="288925"/>
                <wp:effectExtent l="0" t="0" r="0" b="0"/>
                <wp:wrapNone/>
                <wp:docPr id="299" name="Graphic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Graphic 299"/>
                      <wps:cNvSpPr/>
                      <wps:spPr>
                        <a:xfrm>
                          <a:off x="0" y="0"/>
                          <a:ext cx="765175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288925">
                              <a:moveTo>
                                <a:pt x="765047" y="0"/>
                              </a:moveTo>
                              <a:lnTo>
                                <a:pt x="0" y="0"/>
                              </a:lnTo>
                              <a:lnTo>
                                <a:pt x="0" y="288340"/>
                              </a:lnTo>
                              <a:lnTo>
                                <a:pt x="765047" y="288340"/>
                              </a:lnTo>
                              <a:lnTo>
                                <a:pt x="765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10007pt;margin-top:434.565979pt;width:60.24pt;height:22.704pt;mso-position-horizontal-relative:page;mso-position-vertical-relative:page;z-index:15757312" id="docshape272" filled="true" fillcolor="#c5d9f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4691760</wp:posOffset>
                </wp:positionH>
                <wp:positionV relativeFrom="page">
                  <wp:posOffset>5518987</wp:posOffset>
                </wp:positionV>
                <wp:extent cx="763905" cy="288925"/>
                <wp:effectExtent l="0" t="0" r="0" b="0"/>
                <wp:wrapNone/>
                <wp:docPr id="300" name="Graphic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Graphic 300"/>
                      <wps:cNvSpPr/>
                      <wps:spPr>
                        <a:xfrm>
                          <a:off x="0" y="0"/>
                          <a:ext cx="763905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905" h="288925">
                              <a:moveTo>
                                <a:pt x="763828" y="0"/>
                              </a:moveTo>
                              <a:lnTo>
                                <a:pt x="0" y="0"/>
                              </a:lnTo>
                              <a:lnTo>
                                <a:pt x="0" y="288340"/>
                              </a:lnTo>
                              <a:lnTo>
                                <a:pt x="763828" y="288340"/>
                              </a:lnTo>
                              <a:lnTo>
                                <a:pt x="763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9.429993pt;margin-top:434.565979pt;width:60.144pt;height:22.704pt;mso-position-horizontal-relative:page;mso-position-vertical-relative:page;z-index:15757824" id="docshape273" filled="true" fillcolor="#c5d9f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3259454</wp:posOffset>
                </wp:positionH>
                <wp:positionV relativeFrom="page">
                  <wp:posOffset>7075424</wp:posOffset>
                </wp:positionV>
                <wp:extent cx="372110" cy="1353820"/>
                <wp:effectExtent l="0" t="0" r="0" b="0"/>
                <wp:wrapNone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372110" cy="1353820"/>
                          <a:chExt cx="372110" cy="1353820"/>
                        </a:xfrm>
                      </wpg:grpSpPr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12985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59" y="1182368"/>
                            <a:ext cx="323850" cy="171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6.649994pt;margin-top:557.120056pt;width:29.3pt;height:106.6pt;mso-position-horizontal-relative:page;mso-position-vertical-relative:page;z-index:15758336" id="docshapegroup274" coordorigin="5133,11142" coordsize="586,2132">
                <v:shape style="position:absolute;left:5133;top:11142;width:586;height:2045" type="#_x0000_t75" id="docshape275" stroked="false">
                  <v:imagedata r:id="rId33" o:title=""/>
                </v:shape>
                <v:shape style="position:absolute;left:5189;top:13004;width:510;height:270" type="#_x0000_t75" id="docshape276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spacing w:val="-2"/>
        </w:rPr>
        <w:t>συμμετοχών</w:t>
      </w:r>
    </w:p>
    <w:p>
      <w:pPr>
        <w:pStyle w:val="BodyText"/>
        <w:spacing w:line="244" w:lineRule="auto" w:before="12"/>
        <w:ind w:left="4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2504567</wp:posOffset>
                </wp:positionH>
                <wp:positionV relativeFrom="paragraph">
                  <wp:posOffset>5232</wp:posOffset>
                </wp:positionV>
                <wp:extent cx="765175" cy="2931160"/>
                <wp:effectExtent l="0" t="0" r="0" b="0"/>
                <wp:wrapNone/>
                <wp:docPr id="304" name="Graphic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Graphic 304"/>
                      <wps:cNvSpPr/>
                      <wps:spPr>
                        <a:xfrm>
                          <a:off x="0" y="0"/>
                          <a:ext cx="765175" cy="2931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2931160">
                              <a:moveTo>
                                <a:pt x="765048" y="1833448"/>
                              </a:moveTo>
                              <a:lnTo>
                                <a:pt x="0" y="1833448"/>
                              </a:lnTo>
                              <a:lnTo>
                                <a:pt x="0" y="2031873"/>
                              </a:lnTo>
                              <a:lnTo>
                                <a:pt x="0" y="2463165"/>
                              </a:lnTo>
                              <a:lnTo>
                                <a:pt x="0" y="2641473"/>
                              </a:lnTo>
                              <a:lnTo>
                                <a:pt x="0" y="2931033"/>
                              </a:lnTo>
                              <a:lnTo>
                                <a:pt x="765048" y="2931033"/>
                              </a:lnTo>
                              <a:lnTo>
                                <a:pt x="765048" y="2641473"/>
                              </a:lnTo>
                              <a:lnTo>
                                <a:pt x="765048" y="2463165"/>
                              </a:lnTo>
                              <a:lnTo>
                                <a:pt x="765048" y="2031873"/>
                              </a:lnTo>
                              <a:lnTo>
                                <a:pt x="765048" y="1833448"/>
                              </a:lnTo>
                              <a:close/>
                            </a:path>
                            <a:path w="765175" h="2931160">
                              <a:moveTo>
                                <a:pt x="765048" y="0"/>
                              </a:moveTo>
                              <a:lnTo>
                                <a:pt x="0" y="0"/>
                              </a:lnTo>
                              <a:lnTo>
                                <a:pt x="0" y="288036"/>
                              </a:lnTo>
                              <a:lnTo>
                                <a:pt x="0" y="576072"/>
                              </a:lnTo>
                              <a:lnTo>
                                <a:pt x="0" y="946404"/>
                              </a:lnTo>
                              <a:lnTo>
                                <a:pt x="0" y="1234440"/>
                              </a:lnTo>
                              <a:lnTo>
                                <a:pt x="0" y="1403604"/>
                              </a:lnTo>
                              <a:lnTo>
                                <a:pt x="0" y="1833372"/>
                              </a:lnTo>
                              <a:lnTo>
                                <a:pt x="765048" y="1833372"/>
                              </a:lnTo>
                              <a:lnTo>
                                <a:pt x="765048" y="288036"/>
                              </a:lnTo>
                              <a:lnTo>
                                <a:pt x="765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210007pt;margin-top:.411993pt;width:60.25pt;height:230.8pt;mso-position-horizontal-relative:page;mso-position-vertical-relative:paragraph;z-index:15753728" id="docshape277" coordorigin="3944,8" coordsize="1205,4616" path="m5149,2896l3944,2896,3944,3208,3944,3887,3944,4168,3944,4624,5149,4624,5149,4168,5149,3887,5149,3208,5149,2896xm5149,8l3944,8,3944,462,3944,915,3944,1499,3944,1952,3944,2219,3944,2895,5149,2895,5149,2219,5149,1952,5149,1499,5149,915,5149,462,5149,8xe" filled="true" fillcolor="#c5d9f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90"/>
        </w:rPr>
        <w:t>Κέρδη/(Ζημιές) από πώληση παγίων </w:t>
      </w:r>
      <w:r>
        <w:rPr/>
        <w:t>και</w:t>
      </w:r>
      <w:r>
        <w:rPr>
          <w:spacing w:val="-3"/>
        </w:rPr>
        <w:t> </w:t>
      </w:r>
      <w:r>
        <w:rPr/>
        <w:t>συμμετοχών</w:t>
      </w:r>
    </w:p>
    <w:p>
      <w:pPr>
        <w:pStyle w:val="BodyText"/>
        <w:spacing w:line="244" w:lineRule="auto" w:before="7"/>
        <w:ind w:left="425" w:right="1273"/>
      </w:pPr>
      <w:r>
        <w:rPr>
          <w:spacing w:val="-4"/>
        </w:rPr>
        <w:t>Προβλέψεις</w:t>
      </w:r>
      <w:r>
        <w:rPr>
          <w:spacing w:val="-15"/>
        </w:rPr>
        <w:t> </w:t>
      </w:r>
      <w:r>
        <w:rPr>
          <w:spacing w:val="-4"/>
        </w:rPr>
        <w:t>και</w:t>
      </w:r>
      <w:r>
        <w:rPr>
          <w:spacing w:val="-15"/>
        </w:rPr>
        <w:t> </w:t>
      </w:r>
      <w:r>
        <w:rPr>
          <w:spacing w:val="-4"/>
        </w:rPr>
        <w:t>έξοδα </w:t>
      </w:r>
      <w:r>
        <w:rPr>
          <w:spacing w:val="-2"/>
        </w:rPr>
        <w:t>μετασχηματισμού</w:t>
      </w:r>
    </w:p>
    <w:p>
      <w:pPr>
        <w:pStyle w:val="BodyText"/>
        <w:spacing w:line="244" w:lineRule="auto" w:before="7"/>
        <w:ind w:left="425"/>
      </w:pPr>
      <w:r>
        <w:rPr/>
        <w:t>Aναλογία</w:t>
      </w:r>
      <w:r>
        <w:rPr>
          <w:spacing w:val="-16"/>
        </w:rPr>
        <w:t> </w:t>
      </w:r>
      <w:r>
        <w:rPr/>
        <w:t>κερδών/(ζημιών)</w:t>
      </w:r>
      <w:r>
        <w:rPr>
          <w:spacing w:val="-16"/>
        </w:rPr>
        <w:t> </w:t>
      </w:r>
      <w:r>
        <w:rPr/>
        <w:t>από </w:t>
      </w:r>
      <w:r>
        <w:rPr>
          <w:spacing w:val="-6"/>
        </w:rPr>
        <w:t>συγγενείς εταιρείες και</w:t>
      </w:r>
      <w:r>
        <w:rPr>
          <w:spacing w:val="-7"/>
        </w:rPr>
        <w:t> </w:t>
      </w:r>
      <w:r>
        <w:rPr>
          <w:spacing w:val="-6"/>
        </w:rPr>
        <w:t>κοινοπραξίες</w:t>
      </w:r>
    </w:p>
    <w:p>
      <w:pPr>
        <w:pStyle w:val="Heading3"/>
        <w:spacing w:line="254" w:lineRule="auto" w:before="131"/>
      </w:pPr>
      <w:r>
        <w:rPr>
          <w:spacing w:val="-6"/>
        </w:rPr>
        <w:t>Κέρδη/(Ζημίες) πριν τον</w:t>
      </w:r>
      <w:r>
        <w:rPr>
          <w:spacing w:val="-7"/>
        </w:rPr>
        <w:t> </w:t>
      </w:r>
      <w:r>
        <w:rPr>
          <w:spacing w:val="-6"/>
        </w:rPr>
        <w:t>Φόρο </w:t>
      </w:r>
      <w:r>
        <w:rPr>
          <w:spacing w:val="-2"/>
        </w:rPr>
        <w:t>εισοδήματος</w:t>
      </w:r>
    </w:p>
    <w:p>
      <w:pPr>
        <w:pStyle w:val="BodyText"/>
        <w:spacing w:line="218" w:lineRule="exact"/>
        <w:ind w:left="425"/>
      </w:pPr>
      <w:r>
        <w:rPr/>
        <w:t>Φόρος</w:t>
      </w:r>
      <w:r>
        <w:rPr>
          <w:spacing w:val="-4"/>
        </w:rPr>
        <w:t> </w:t>
      </w:r>
      <w:r>
        <w:rPr>
          <w:spacing w:val="-2"/>
        </w:rPr>
        <w:t>Εισοδήματος</w:t>
      </w:r>
    </w:p>
    <w:p>
      <w:pPr>
        <w:spacing w:line="249" w:lineRule="auto" w:before="49"/>
        <w:ind w:left="425" w:right="387" w:firstLine="0"/>
        <w:jc w:val="left"/>
        <w:rPr>
          <w:sz w:val="18"/>
        </w:rPr>
      </w:pPr>
      <w:r>
        <w:rPr>
          <w:rFonts w:ascii="Tahoma" w:hAnsi="Tahoma"/>
          <w:b/>
          <w:spacing w:val="-6"/>
          <w:sz w:val="18"/>
        </w:rPr>
        <w:t>Καθαρά κέρδη/ (ζημίες)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pacing w:val="-6"/>
          <w:sz w:val="18"/>
        </w:rPr>
        <w:t>μετά το </w:t>
      </w:r>
      <w:r>
        <w:rPr>
          <w:rFonts w:ascii="Tahoma" w:hAnsi="Tahoma"/>
          <w:b/>
          <w:sz w:val="18"/>
        </w:rPr>
        <w:t>φόρο εισοδήματος, από </w:t>
      </w:r>
      <w:r>
        <w:rPr>
          <w:rFonts w:ascii="Tahoma" w:hAnsi="Tahoma"/>
          <w:b/>
          <w:spacing w:val="-2"/>
          <w:sz w:val="18"/>
        </w:rPr>
        <w:t>συνεχιζόμενες δραστηριότητες </w:t>
      </w:r>
      <w:r>
        <w:rPr>
          <w:spacing w:val="-2"/>
          <w:sz w:val="18"/>
        </w:rPr>
        <w:t>Επίπτωση</w:t>
      </w:r>
      <w:r>
        <w:rPr>
          <w:spacing w:val="-14"/>
          <w:sz w:val="18"/>
        </w:rPr>
        <w:t> </w:t>
      </w:r>
      <w:r>
        <w:rPr>
          <w:spacing w:val="-2"/>
          <w:sz w:val="18"/>
        </w:rPr>
        <w:t>από</w:t>
      </w:r>
      <w:r>
        <w:rPr>
          <w:spacing w:val="-14"/>
          <w:sz w:val="18"/>
        </w:rPr>
        <w:t> </w:t>
      </w:r>
      <w:r>
        <w:rPr>
          <w:spacing w:val="-2"/>
          <w:sz w:val="18"/>
        </w:rPr>
        <w:t>συναλλαγές</w:t>
      </w:r>
      <w:r>
        <w:rPr>
          <w:spacing w:val="-15"/>
          <w:sz w:val="18"/>
        </w:rPr>
        <w:t> </w:t>
      </w:r>
      <w:r>
        <w:rPr>
          <w:spacing w:val="-2"/>
          <w:sz w:val="18"/>
        </w:rPr>
        <w:t>ΜΕΑ</w:t>
      </w:r>
    </w:p>
    <w:p>
      <w:pPr>
        <w:pStyle w:val="Heading3"/>
      </w:pPr>
      <w:r>
        <w:rPr>
          <w:spacing w:val="-6"/>
        </w:rPr>
        <w:t>Καθαρά</w:t>
      </w:r>
      <w:r>
        <w:rPr>
          <w:spacing w:val="-2"/>
        </w:rPr>
        <w:t> </w:t>
      </w:r>
      <w:r>
        <w:rPr>
          <w:spacing w:val="-6"/>
        </w:rPr>
        <w:t>κέρδη/</w:t>
      </w:r>
      <w:r>
        <w:rPr/>
        <w:t> </w:t>
      </w:r>
      <w:r>
        <w:rPr>
          <w:spacing w:val="-6"/>
        </w:rPr>
        <w:t>(ζημίες)</w:t>
      </w:r>
      <w:r>
        <w:rPr>
          <w:spacing w:val="-2"/>
        </w:rPr>
        <w:t> </w:t>
      </w:r>
      <w:r>
        <w:rPr>
          <w:spacing w:val="-6"/>
        </w:rPr>
        <w:t>μετά</w:t>
      </w:r>
      <w:r>
        <w:rPr>
          <w:spacing w:val="-1"/>
        </w:rPr>
        <w:t> </w:t>
      </w:r>
      <w:r>
        <w:rPr>
          <w:spacing w:val="-6"/>
        </w:rPr>
        <w:t>το</w:t>
      </w:r>
    </w:p>
    <w:p>
      <w:pPr>
        <w:spacing w:line="244" w:lineRule="auto" w:before="7"/>
        <w:ind w:left="425" w:right="0" w:firstLine="0"/>
        <w:jc w:val="left"/>
        <w:rPr>
          <w:sz w:val="18"/>
        </w:rPr>
      </w:pPr>
      <w:r>
        <w:rPr>
          <w:rFonts w:ascii="Tahoma" w:hAnsi="Tahoma"/>
          <w:b/>
          <w:spacing w:val="-4"/>
          <w:sz w:val="18"/>
        </w:rPr>
        <w:t>φόρο</w:t>
      </w:r>
      <w:r>
        <w:rPr>
          <w:rFonts w:ascii="Tahoma" w:hAnsi="Tahoma"/>
          <w:b/>
          <w:spacing w:val="-8"/>
          <w:sz w:val="18"/>
        </w:rPr>
        <w:t> </w:t>
      </w:r>
      <w:r>
        <w:rPr>
          <w:rFonts w:ascii="Tahoma" w:hAnsi="Tahoma"/>
          <w:b/>
          <w:spacing w:val="-4"/>
          <w:sz w:val="18"/>
        </w:rPr>
        <w:t>εισοδήματος,</w:t>
      </w:r>
      <w:r>
        <w:rPr>
          <w:rFonts w:ascii="Tahoma" w:hAnsi="Tahoma"/>
          <w:b/>
          <w:spacing w:val="-8"/>
          <w:sz w:val="18"/>
        </w:rPr>
        <w:t> </w:t>
      </w:r>
      <w:r>
        <w:rPr>
          <w:rFonts w:ascii="Tahoma" w:hAnsi="Tahoma"/>
          <w:b/>
          <w:spacing w:val="-4"/>
          <w:sz w:val="18"/>
        </w:rPr>
        <w:t>από</w:t>
      </w:r>
      <w:r>
        <w:rPr>
          <w:rFonts w:ascii="Tahoma" w:hAnsi="Tahoma"/>
          <w:b/>
          <w:spacing w:val="-6"/>
          <w:sz w:val="18"/>
        </w:rPr>
        <w:t> </w:t>
      </w:r>
      <w:r>
        <w:rPr>
          <w:spacing w:val="-4"/>
          <w:sz w:val="18"/>
        </w:rPr>
        <w:t>διακοπείσες </w:t>
      </w:r>
      <w:r>
        <w:rPr>
          <w:spacing w:val="-2"/>
          <w:sz w:val="18"/>
        </w:rPr>
        <w:t>δραστηριότητες</w:t>
      </w:r>
    </w:p>
    <w:p>
      <w:pPr>
        <w:pStyle w:val="BodyText"/>
        <w:spacing w:before="7"/>
        <w:ind w:left="425"/>
      </w:pPr>
      <w:r>
        <w:rPr>
          <w:spacing w:val="-4"/>
        </w:rPr>
        <w:t>Λοιπές</w:t>
      </w:r>
      <w:r>
        <w:rPr>
          <w:spacing w:val="-6"/>
        </w:rPr>
        <w:t> </w:t>
      </w:r>
      <w:r>
        <w:rPr>
          <w:spacing w:val="-2"/>
        </w:rPr>
        <w:t>αναπροσαρμογές</w:t>
      </w:r>
    </w:p>
    <w:p>
      <w:pPr>
        <w:pStyle w:val="Heading3"/>
        <w:spacing w:line="249" w:lineRule="auto" w:before="63"/>
      </w:pPr>
      <w:r>
        <w:rPr>
          <w:spacing w:val="-6"/>
        </w:rPr>
        <w:t>Καθαρά κέρδη/(Ζημίες) μετά </w:t>
      </w:r>
      <w:r>
        <w:rPr>
          <w:spacing w:val="-6"/>
        </w:rPr>
        <w:t>από </w:t>
      </w:r>
      <w:r>
        <w:rPr>
          <w:spacing w:val="-2"/>
        </w:rPr>
        <w:t>Φόρους</w:t>
      </w:r>
    </w:p>
    <w:p>
      <w:pPr>
        <w:pStyle w:val="BodyText"/>
        <w:spacing w:line="189" w:lineRule="exact"/>
        <w:ind w:left="1287"/>
        <w:rPr>
          <w:rFonts w:ascii="Arial MT"/>
        </w:rPr>
      </w:pPr>
      <w:r>
        <w:rPr/>
        <w:br w:type="column"/>
      </w:r>
      <w:r>
        <w:rPr>
          <w:rFonts w:ascii="Arial MT"/>
          <w:spacing w:val="-5"/>
        </w:rPr>
        <w:t>(1)</w:t>
      </w:r>
    </w:p>
    <w:p>
      <w:pPr>
        <w:tabs>
          <w:tab w:pos="1959" w:val="left" w:leader="none"/>
        </w:tabs>
        <w:spacing w:line="240" w:lineRule="auto"/>
        <w:ind w:left="462" w:right="0" w:firstLine="0"/>
        <w:rPr>
          <w:rFonts w:ascii="Arial MT"/>
          <w:sz w:val="20"/>
        </w:rPr>
      </w:pPr>
      <w:r>
        <w:rPr>
          <w:rFonts w:ascii="Arial MT"/>
          <w:position w:val="52"/>
          <w:sz w:val="20"/>
        </w:rPr>
        <mc:AlternateContent>
          <mc:Choice Requires="wps">
            <w:drawing>
              <wp:inline distT="0" distB="0" distL="0" distR="0">
                <wp:extent cx="401955" cy="2765425"/>
                <wp:effectExtent l="0" t="0" r="0" b="6350"/>
                <wp:docPr id="305" name="Group 3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5" name="Group 305"/>
                      <wpg:cNvGrpSpPr/>
                      <wpg:grpSpPr>
                        <a:xfrm>
                          <a:off x="0" y="0"/>
                          <a:ext cx="401955" cy="2765425"/>
                          <a:chExt cx="401955" cy="2765425"/>
                        </a:xfrm>
                      </wpg:grpSpPr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79" cy="2726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6350" y="2061336"/>
                            <a:ext cx="395605" cy="7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 h="703580">
                                <a:moveTo>
                                  <a:pt x="379095" y="33274"/>
                                </a:moveTo>
                                <a:lnTo>
                                  <a:pt x="95885" y="33274"/>
                                </a:lnTo>
                                <a:lnTo>
                                  <a:pt x="95885" y="0"/>
                                </a:lnTo>
                                <a:lnTo>
                                  <a:pt x="19685" y="38100"/>
                                </a:lnTo>
                                <a:lnTo>
                                  <a:pt x="95885" y="76200"/>
                                </a:lnTo>
                                <a:lnTo>
                                  <a:pt x="95885" y="42799"/>
                                </a:lnTo>
                                <a:lnTo>
                                  <a:pt x="379095" y="42799"/>
                                </a:lnTo>
                                <a:lnTo>
                                  <a:pt x="379095" y="33274"/>
                                </a:lnTo>
                                <a:close/>
                              </a:path>
                              <a:path w="395605" h="703580">
                                <a:moveTo>
                                  <a:pt x="395605" y="660654"/>
                                </a:moveTo>
                                <a:lnTo>
                                  <a:pt x="76200" y="660654"/>
                                </a:lnTo>
                                <a:lnTo>
                                  <a:pt x="76200" y="627380"/>
                                </a:lnTo>
                                <a:lnTo>
                                  <a:pt x="0" y="665480"/>
                                </a:lnTo>
                                <a:lnTo>
                                  <a:pt x="76200" y="703580"/>
                                </a:lnTo>
                                <a:lnTo>
                                  <a:pt x="76200" y="670179"/>
                                </a:lnTo>
                                <a:lnTo>
                                  <a:pt x="395605" y="670179"/>
                                </a:lnTo>
                                <a:lnTo>
                                  <a:pt x="395605" y="660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1.65pt;height:217.75pt;mso-position-horizontal-relative:char;mso-position-vertical-relative:line" id="docshapegroup278" coordorigin="0,0" coordsize="633,4355">
                <v:shape style="position:absolute;left:0;top:0;width:488;height:4294" type="#_x0000_t75" id="docshape279" stroked="false">
                  <v:imagedata r:id="rId34" o:title=""/>
                </v:shape>
                <v:shape style="position:absolute;left:10;top:3246;width:623;height:1108" id="docshape280" coordorigin="10,3246" coordsize="623,1108" path="m607,3299l161,3299,161,3246,41,3306,161,3366,161,3314,607,3314,607,3299xm633,4287l130,4287,130,4234,10,4294,130,4354,130,4302,633,4302,633,4287xe" filled="true" fillcolor="#a6a6a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position w:val="52"/>
          <w:sz w:val="20"/>
        </w:rPr>
      </w:r>
      <w:r>
        <w:rPr>
          <w:rFonts w:ascii="Arial MT"/>
          <w:position w:val="52"/>
          <w:sz w:val="20"/>
        </w:rPr>
        <w:tab/>
      </w: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763905" cy="2931160"/>
                <wp:effectExtent l="0" t="0" r="0" b="0"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763905" cy="2931160"/>
                          <a:chExt cx="763905" cy="2931160"/>
                        </a:xfrm>
                      </wpg:grpSpPr>
                      <wps:wsp>
                        <wps:cNvPr id="309" name="Graphic 309"/>
                        <wps:cNvSpPr/>
                        <wps:spPr>
                          <a:xfrm>
                            <a:off x="0" y="0"/>
                            <a:ext cx="763905" cy="293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905" h="2931160">
                                <a:moveTo>
                                  <a:pt x="763828" y="1833448"/>
                                </a:moveTo>
                                <a:lnTo>
                                  <a:pt x="0" y="1833448"/>
                                </a:lnTo>
                                <a:lnTo>
                                  <a:pt x="0" y="2031873"/>
                                </a:lnTo>
                                <a:lnTo>
                                  <a:pt x="0" y="2463165"/>
                                </a:lnTo>
                                <a:lnTo>
                                  <a:pt x="0" y="2641473"/>
                                </a:lnTo>
                                <a:lnTo>
                                  <a:pt x="0" y="2931033"/>
                                </a:lnTo>
                                <a:lnTo>
                                  <a:pt x="763828" y="2931033"/>
                                </a:lnTo>
                                <a:lnTo>
                                  <a:pt x="763828" y="2641473"/>
                                </a:lnTo>
                                <a:lnTo>
                                  <a:pt x="763828" y="2463165"/>
                                </a:lnTo>
                                <a:lnTo>
                                  <a:pt x="763828" y="2031873"/>
                                </a:lnTo>
                                <a:lnTo>
                                  <a:pt x="763828" y="1833448"/>
                                </a:lnTo>
                                <a:close/>
                              </a:path>
                              <a:path w="763905" h="2931160">
                                <a:moveTo>
                                  <a:pt x="7638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lnTo>
                                  <a:pt x="0" y="576072"/>
                                </a:lnTo>
                                <a:lnTo>
                                  <a:pt x="0" y="946404"/>
                                </a:lnTo>
                                <a:lnTo>
                                  <a:pt x="0" y="1234440"/>
                                </a:lnTo>
                                <a:lnTo>
                                  <a:pt x="0" y="1403604"/>
                                </a:lnTo>
                                <a:lnTo>
                                  <a:pt x="0" y="1833372"/>
                                </a:lnTo>
                                <a:lnTo>
                                  <a:pt x="763828" y="1833372"/>
                                </a:lnTo>
                                <a:lnTo>
                                  <a:pt x="763828" y="288036"/>
                                </a:lnTo>
                                <a:lnTo>
                                  <a:pt x="763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15pt;height:230.8pt;mso-position-horizontal-relative:char;mso-position-vertical-relative:line" id="docshapegroup281" coordorigin="0,0" coordsize="1203,4616">
                <v:shape style="position:absolute;left:0;top:0;width:1203;height:4616" id="docshape282" coordorigin="0,0" coordsize="1203,4616" path="m1203,2887l0,2887,0,3200,0,3879,0,4160,0,4616,1203,4616,1203,4160,1203,3879,1203,3200,1203,2887xm1203,0l0,0,0,454,0,907,0,1490,0,1944,0,2210,0,2887,1203,2887,1203,2210,1203,1944,1203,1490,1203,907,1203,454,1203,0xe" filled="true" fillcolor="#c5d9f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 MT"/>
          <w:sz w:val="20"/>
        </w:rPr>
      </w:r>
    </w:p>
    <w:p>
      <w:pPr>
        <w:spacing w:after="0" w:line="240" w:lineRule="auto"/>
        <w:rPr>
          <w:rFonts w:ascii="Arial MT"/>
          <w:sz w:val="20"/>
        </w:rPr>
        <w:sectPr>
          <w:type w:val="continuous"/>
          <w:pgSz w:w="11920" w:h="16850"/>
          <w:pgMar w:header="639" w:footer="648" w:top="1940" w:bottom="280" w:left="283" w:right="425"/>
          <w:cols w:num="2" w:equalWidth="0">
            <w:col w:w="3573" w:space="1573"/>
            <w:col w:w="6066"/>
          </w:cols>
        </w:sect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76"/>
        <w:rPr>
          <w:rFonts w:ascii="Arial MT"/>
          <w:sz w:val="20"/>
        </w:rPr>
      </w:pPr>
    </w:p>
    <w:p>
      <w:pPr>
        <w:spacing w:line="20" w:lineRule="exact"/>
        <w:ind w:left="317" w:right="0" w:firstLine="0"/>
        <w:rPr>
          <w:rFonts w:ascii="Arial MT"/>
          <w:sz w:val="2"/>
        </w:rPr>
      </w:pPr>
      <w:r>
        <w:rPr>
          <w:rFonts w:ascii="Arial MT"/>
          <w:sz w:val="2"/>
        </w:rPr>
        <mc:AlternateContent>
          <mc:Choice Requires="wps">
            <w:drawing>
              <wp:inline distT="0" distB="0" distL="0" distR="0">
                <wp:extent cx="1829435" cy="9525"/>
                <wp:effectExtent l="0" t="0" r="0" b="0"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1829435" cy="9525"/>
                          <a:chExt cx="1829435" cy="9525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1829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9525">
                                <a:moveTo>
                                  <a:pt x="1829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829435" y="9144"/>
                                </a:lnTo>
                                <a:lnTo>
                                  <a:pt x="1829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4.050pt;height:.75pt;mso-position-horizontal-relative:char;mso-position-vertical-relative:line" id="docshapegroup283" coordorigin="0,0" coordsize="2881,15">
                <v:rect style="position:absolute;left:0;top:0;width:2881;height:15" id="docshape284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Arial MT"/>
          <w:sz w:val="2"/>
        </w:rPr>
      </w:r>
    </w:p>
    <w:p>
      <w:pPr>
        <w:spacing w:line="244" w:lineRule="auto" w:before="90"/>
        <w:ind w:left="317" w:right="511" w:firstLine="0"/>
        <w:jc w:val="left"/>
        <w:rPr>
          <w:sz w:val="16"/>
        </w:rPr>
      </w:pPr>
      <w:bookmarkStart w:name="_bookmark0" w:id="1"/>
      <w:bookmarkEnd w:id="1"/>
      <w:r>
        <w:rPr/>
      </w:r>
      <w:r>
        <w:rPr>
          <w:spacing w:val="-6"/>
          <w:sz w:val="16"/>
          <w:vertAlign w:val="superscript"/>
        </w:rPr>
        <w:t>1</w:t>
      </w:r>
      <w:r>
        <w:rPr>
          <w:spacing w:val="-26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Τα Προσαρμοσμένα</w:t>
      </w:r>
      <w:r>
        <w:rPr>
          <w:spacing w:val="-9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Καθαρά</w:t>
      </w:r>
      <w:r>
        <w:rPr>
          <w:spacing w:val="-9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Κέρδη</w:t>
      </w:r>
      <w:r>
        <w:rPr>
          <w:spacing w:val="-8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μετά από Φόρους,</w:t>
      </w:r>
      <w:r>
        <w:rPr>
          <w:spacing w:val="-8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τα οποία</w:t>
      </w:r>
      <w:r>
        <w:rPr>
          <w:spacing w:val="-9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ανήλθαν σε</w:t>
      </w:r>
      <w:r>
        <w:rPr>
          <w:spacing w:val="-9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€275</w:t>
      </w:r>
      <w:r>
        <w:rPr>
          <w:spacing w:val="-7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εκατ. το</w:t>
      </w:r>
      <w:r>
        <w:rPr>
          <w:spacing w:val="-8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β’ τρίμηνο 2026, ορίζονται</w:t>
      </w:r>
      <w:r>
        <w:rPr>
          <w:spacing w:val="-7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ως τα</w:t>
      </w:r>
      <w:r>
        <w:rPr>
          <w:spacing w:val="-9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Καθαρά κέρδη μετά τον φόρο εισοδήματος ύψους €316 εκατ. μη συμπεριλαμβανομένων: α) των αναπροσαρμογών που προέκυψαν από την αναγνώριση </w:t>
      </w:r>
      <w:r>
        <w:rPr>
          <w:spacing w:val="-4"/>
          <w:sz w:val="16"/>
          <w:vertAlign w:val="baseline"/>
        </w:rPr>
        <w:t>πρόσθετων</w:t>
      </w:r>
      <w:r>
        <w:rPr>
          <w:spacing w:val="-14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Αναβαλλόμενων</w:t>
      </w:r>
      <w:r>
        <w:rPr>
          <w:spacing w:val="-11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Φορολογικών</w:t>
      </w:r>
      <w:r>
        <w:rPr>
          <w:spacing w:val="-11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Απαιτήσεων</w:t>
      </w:r>
      <w:r>
        <w:rPr>
          <w:spacing w:val="-11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ύψους</w:t>
      </w:r>
      <w:r>
        <w:rPr>
          <w:spacing w:val="-11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€118</w:t>
      </w:r>
      <w:r>
        <w:rPr>
          <w:spacing w:val="-12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εκατ.,</w:t>
      </w:r>
      <w:r>
        <w:rPr>
          <w:spacing w:val="-13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β)</w:t>
      </w:r>
      <w:r>
        <w:rPr>
          <w:spacing w:val="-12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της</w:t>
      </w:r>
      <w:r>
        <w:rPr>
          <w:spacing w:val="-13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μερικής</w:t>
      </w:r>
      <w:r>
        <w:rPr>
          <w:spacing w:val="-10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διαγραφής</w:t>
      </w:r>
      <w:r>
        <w:rPr>
          <w:spacing w:val="-12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μιας</w:t>
      </w:r>
      <w:r>
        <w:rPr>
          <w:spacing w:val="-12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αντιστάθμισης</w:t>
      </w:r>
      <w:r>
        <w:rPr>
          <w:spacing w:val="-10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ταμειακών</w:t>
      </w:r>
      <w:r>
        <w:rPr>
          <w:spacing w:val="-11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ροών </w:t>
      </w:r>
      <w:r>
        <w:rPr>
          <w:spacing w:val="-6"/>
          <w:sz w:val="16"/>
          <w:vertAlign w:val="baseline"/>
        </w:rPr>
        <w:t>ύψους 38 εκατ.,</w:t>
      </w:r>
      <w:r>
        <w:rPr>
          <w:spacing w:val="-7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γ) της</w:t>
      </w:r>
      <w:r>
        <w:rPr>
          <w:spacing w:val="-7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πρόβλεψης σχετιζόμενης</w:t>
      </w:r>
      <w:r>
        <w:rPr>
          <w:spacing w:val="-7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με το Πρόγραμμα Εθελουσίας</w:t>
      </w:r>
      <w:r>
        <w:rPr>
          <w:spacing w:val="-7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Εξόδου Προσωπικού στην</w:t>
      </w:r>
      <w:r>
        <w:rPr>
          <w:spacing w:val="-7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Κύπρο</w:t>
      </w:r>
      <w:r>
        <w:rPr>
          <w:spacing w:val="-7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ύψους 18 εκατ. και δ) της </w:t>
      </w:r>
      <w:r>
        <w:rPr>
          <w:spacing w:val="-4"/>
          <w:sz w:val="16"/>
          <w:vertAlign w:val="baseline"/>
        </w:rPr>
        <w:t>αρνητικής</w:t>
      </w:r>
      <w:r>
        <w:rPr>
          <w:spacing w:val="-5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επίπτωσης</w:t>
      </w:r>
      <w:r>
        <w:rPr>
          <w:spacing w:val="-5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λοιπών</w:t>
      </w:r>
      <w:r>
        <w:rPr>
          <w:spacing w:val="-6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αναπροσαρμογών ύψους €20</w:t>
      </w:r>
      <w:r>
        <w:rPr>
          <w:spacing w:val="-5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εκατ.</w:t>
      </w:r>
    </w:p>
    <w:p>
      <w:pPr>
        <w:spacing w:line="244" w:lineRule="auto" w:before="0"/>
        <w:ind w:left="317" w:right="511" w:firstLine="0"/>
        <w:jc w:val="left"/>
        <w:rPr>
          <w:sz w:val="16"/>
        </w:rPr>
      </w:pPr>
      <w:bookmarkStart w:name="_bookmark1" w:id="2"/>
      <w:bookmarkEnd w:id="2"/>
      <w:r>
        <w:rPr/>
      </w:r>
      <w:r>
        <w:rPr>
          <w:spacing w:val="-6"/>
          <w:sz w:val="16"/>
          <w:vertAlign w:val="superscript"/>
        </w:rPr>
        <w:t>2</w:t>
      </w:r>
      <w:r>
        <w:rPr>
          <w:spacing w:val="-9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Η</w:t>
      </w:r>
      <w:r>
        <w:rPr>
          <w:spacing w:val="-9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Ενσώματη</w:t>
      </w:r>
      <w:r>
        <w:rPr>
          <w:spacing w:val="-10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Καθαρή</w:t>
      </w:r>
      <w:r>
        <w:rPr>
          <w:spacing w:val="-8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θέση</w:t>
      </w:r>
      <w:r>
        <w:rPr>
          <w:spacing w:val="-10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υπολογίζεται λαμβανομένης υπόψη</w:t>
      </w:r>
      <w:r>
        <w:rPr>
          <w:spacing w:val="-11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της</w:t>
      </w:r>
      <w:r>
        <w:rPr>
          <w:spacing w:val="-8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πληρωμής</w:t>
      </w:r>
      <w:r>
        <w:rPr>
          <w:spacing w:val="-9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του</w:t>
      </w:r>
      <w:r>
        <w:rPr>
          <w:spacing w:val="-9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κουπονιού</w:t>
      </w:r>
      <w:r>
        <w:rPr>
          <w:spacing w:val="-8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AT1, εξαιρουμένων</w:t>
      </w:r>
      <w:r>
        <w:rPr>
          <w:spacing w:val="-10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των</w:t>
      </w:r>
      <w:r>
        <w:rPr>
          <w:spacing w:val="-8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κεφαλαίων</w:t>
      </w:r>
      <w:r>
        <w:rPr>
          <w:spacing w:val="-10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άνω</w:t>
      </w:r>
      <w:r>
        <w:rPr>
          <w:spacing w:val="-10"/>
          <w:sz w:val="16"/>
          <w:vertAlign w:val="baseline"/>
        </w:rPr>
        <w:t> </w:t>
      </w:r>
      <w:r>
        <w:rPr>
          <w:spacing w:val="-6"/>
          <w:sz w:val="16"/>
          <w:vertAlign w:val="baseline"/>
        </w:rPr>
        <w:t>των </w:t>
      </w:r>
      <w:r>
        <w:rPr>
          <w:spacing w:val="-4"/>
          <w:sz w:val="16"/>
          <w:vertAlign w:val="baseline"/>
        </w:rPr>
        <w:t>ελάχιστων</w:t>
      </w:r>
      <w:r>
        <w:rPr>
          <w:spacing w:val="-13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απαιτούμενων</w:t>
      </w:r>
      <w:r>
        <w:rPr>
          <w:spacing w:val="-10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εποπτικών</w:t>
      </w:r>
      <w:r>
        <w:rPr>
          <w:spacing w:val="-10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ορίων</w:t>
      </w:r>
      <w:r>
        <w:rPr>
          <w:spacing w:val="-8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καθώς</w:t>
      </w:r>
      <w:r>
        <w:rPr>
          <w:spacing w:val="-12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και</w:t>
      </w:r>
      <w:r>
        <w:rPr>
          <w:spacing w:val="-11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της</w:t>
      </w:r>
      <w:r>
        <w:rPr>
          <w:spacing w:val="-11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πρόβλεψης</w:t>
      </w:r>
      <w:r>
        <w:rPr>
          <w:spacing w:val="-11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μερισμάτων</w:t>
      </w:r>
      <w:r>
        <w:rPr>
          <w:spacing w:val="-12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που</w:t>
      </w:r>
      <w:r>
        <w:rPr>
          <w:spacing w:val="-11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δεν</w:t>
      </w:r>
      <w:r>
        <w:rPr>
          <w:spacing w:val="-15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έχουν</w:t>
      </w:r>
      <w:r>
        <w:rPr>
          <w:spacing w:val="-12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πληρωθεί,</w:t>
      </w:r>
      <w:r>
        <w:rPr>
          <w:spacing w:val="-9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με</w:t>
      </w:r>
      <w:r>
        <w:rPr>
          <w:spacing w:val="-13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βάση</w:t>
      </w:r>
      <w:r>
        <w:rPr>
          <w:spacing w:val="-12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τα</w:t>
      </w:r>
      <w:r>
        <w:rPr>
          <w:spacing w:val="-13"/>
          <w:sz w:val="16"/>
          <w:vertAlign w:val="baseline"/>
        </w:rPr>
        <w:t> </w:t>
      </w:r>
      <w:r>
        <w:rPr>
          <w:spacing w:val="-4"/>
          <w:sz w:val="16"/>
          <w:vertAlign w:val="baseline"/>
        </w:rPr>
        <w:t>προσαρμοσμένα </w:t>
      </w:r>
      <w:r>
        <w:rPr>
          <w:sz w:val="16"/>
          <w:vertAlign w:val="baseline"/>
        </w:rPr>
        <w:t>Καθαρά</w:t>
      </w:r>
      <w:r>
        <w:rPr>
          <w:spacing w:val="-12"/>
          <w:sz w:val="16"/>
          <w:vertAlign w:val="baseline"/>
        </w:rPr>
        <w:t> </w:t>
      </w:r>
      <w:r>
        <w:rPr>
          <w:sz w:val="16"/>
          <w:vertAlign w:val="baseline"/>
        </w:rPr>
        <w:t>Κέρδη.</w:t>
      </w:r>
    </w:p>
    <w:p>
      <w:pPr>
        <w:spacing w:before="0"/>
        <w:ind w:left="1996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311150</wp:posOffset>
                </wp:positionH>
                <wp:positionV relativeFrom="paragraph">
                  <wp:posOffset>758</wp:posOffset>
                </wp:positionV>
                <wp:extent cx="1165860" cy="708025"/>
                <wp:effectExtent l="0" t="0" r="0" b="0"/>
                <wp:wrapNone/>
                <wp:docPr id="312" name="Textbox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Textbox 312"/>
                      <wps:cNvSpPr txBox="1"/>
                      <wps:spPr>
                        <a:xfrm>
                          <a:off x="0" y="0"/>
                          <a:ext cx="1165860" cy="708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16"/>
                            </w:tblGrid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1716" w:type="dxa"/>
                                </w:tcPr>
                                <w:p>
                                  <w:pPr>
                                    <w:pStyle w:val="TableParagraph"/>
                                    <w:spacing w:line="200" w:lineRule="exact"/>
                                    <w:ind w:left="50" w:right="-1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vertAlign w:val="baseline"/>
                                    </w:rPr>
                                    <w:t>Το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vertAlign w:val="baseline"/>
                                    </w:rPr>
                                    <w:t>β’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vertAlign w:val="baseline"/>
                                    </w:rPr>
                                    <w:t>τρίμηνο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vertAlign w:val="baseline"/>
                                    </w:rPr>
                                    <w:t>2026,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vertAlign w:val="baseline"/>
                                    </w:rPr>
                                    <w:t>τ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vertAlign w:val="baseline"/>
                                    </w:rPr>
                                    <w:t>παγίων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vertAlign w:val="baseline"/>
                                    </w:rPr>
                                    <w:t>και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vertAlign w:val="baseline"/>
                                    </w:rPr>
                                    <w:t>συμμετοχών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91" w:hRule="atLeast"/>
                              </w:trPr>
                              <w:tc>
                                <w:tcPr>
                                  <w:tcW w:w="1716" w:type="dxa"/>
                                </w:tcPr>
                                <w:p>
                                  <w:pPr>
                                    <w:pStyle w:val="TableParagraph"/>
                                    <w:spacing w:line="189" w:lineRule="exact"/>
                                    <w:ind w:left="5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μετασχηματισμού</w:t>
                                  </w:r>
                                  <w:r>
                                    <w:rPr>
                                      <w:spacing w:val="2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w w:val="90"/>
                                      <w:sz w:val="16"/>
                                    </w:rPr>
                                    <w:t>€0,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90" w:lineRule="atLeast"/>
                                    <w:ind w:left="50" w:right="-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16"/>
                                      <w:vertAlign w:val="superscript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  <w:vertAlign w:val="baseline"/>
                                    </w:rPr>
                                    <w:t>Το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  <w:vertAlign w:val="baseline"/>
                                    </w:rPr>
                                    <w:t>β’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  <w:vertAlign w:val="baseline"/>
                                    </w:rPr>
                                    <w:t>τρίμηνο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  <w:vertAlign w:val="baseline"/>
                                    </w:rPr>
                                    <w:t>2026,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  <w:vertAlign w:val="baseline"/>
                                    </w:rPr>
                                    <w:t>η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  <w:vertAlign w:val="baseline"/>
                                    </w:rPr>
                                    <w:t>συναλλαγή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6"/>
                                      <w:vertAlign w:val="baseline"/>
                                    </w:rPr>
                                    <w:t>«Avramar»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4" w:hRule="atLeast"/>
                              </w:trPr>
                              <w:tc>
                                <w:tcPr>
                                  <w:tcW w:w="1716" w:type="dxa"/>
                                </w:tcPr>
                                <w:p>
                                  <w:pPr>
                                    <w:pStyle w:val="TableParagraph"/>
                                    <w:spacing w:line="105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6"/>
                                      <w:vertAlign w:val="superscript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vertAlign w:val="baseline"/>
                                    </w:rPr>
                                    <w:t>Λεπτομερής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  <w:vertAlign w:val="baseline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vertAlign w:val="baseline"/>
                                    </w:rPr>
                                    <w:t>αναφορ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5pt;margin-top:.059727pt;width:91.8pt;height:55.75pt;mso-position-horizontal-relative:page;mso-position-vertical-relative:paragraph;z-index:15759872" type="#_x0000_t202" id="docshape28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16"/>
                      </w:tblGrid>
                      <w:tr>
                        <w:trPr>
                          <w:trHeight w:val="360" w:hRule="atLeast"/>
                        </w:trPr>
                        <w:tc>
                          <w:tcPr>
                            <w:tcW w:w="1716" w:type="dxa"/>
                          </w:tcPr>
                          <w:p>
                            <w:pPr>
                              <w:pStyle w:val="TableParagraph"/>
                              <w:spacing w:line="200" w:lineRule="exact"/>
                              <w:ind w:left="50" w:right="-1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pacing w:val="-13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  <w:vertAlign w:val="baseline"/>
                              </w:rPr>
                              <w:t>Το</w:t>
                            </w:r>
                            <w:r>
                              <w:rPr>
                                <w:spacing w:val="-13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  <w:vertAlign w:val="baseline"/>
                              </w:rPr>
                              <w:t>β’</w:t>
                            </w:r>
                            <w:r>
                              <w:rPr>
                                <w:spacing w:val="-13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  <w:vertAlign w:val="baseline"/>
                              </w:rPr>
                              <w:t>τρίμηνο</w:t>
                            </w:r>
                            <w:r>
                              <w:rPr>
                                <w:spacing w:val="-12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  <w:vertAlign w:val="baseline"/>
                              </w:rPr>
                              <w:t>2026,</w:t>
                            </w:r>
                            <w:r>
                              <w:rPr>
                                <w:spacing w:val="-12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  <w:vertAlign w:val="baseline"/>
                              </w:rPr>
                              <w:t>τ </w:t>
                            </w:r>
                            <w:r>
                              <w:rPr>
                                <w:spacing w:val="-6"/>
                                <w:sz w:val="16"/>
                                <w:vertAlign w:val="baseline"/>
                              </w:rPr>
                              <w:t>παγίων</w:t>
                            </w:r>
                            <w:r>
                              <w:rPr>
                                <w:spacing w:val="-13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6"/>
                                <w:vertAlign w:val="baseline"/>
                              </w:rPr>
                              <w:t>και</w:t>
                            </w:r>
                            <w:r>
                              <w:rPr>
                                <w:spacing w:val="-12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6"/>
                                <w:vertAlign w:val="baseline"/>
                              </w:rPr>
                              <w:t>συμμετοχών</w:t>
                            </w:r>
                          </w:p>
                        </w:tc>
                      </w:tr>
                      <w:tr>
                        <w:trPr>
                          <w:trHeight w:val="591" w:hRule="atLeast"/>
                        </w:trPr>
                        <w:tc>
                          <w:tcPr>
                            <w:tcW w:w="1716" w:type="dxa"/>
                          </w:tcPr>
                          <w:p>
                            <w:pPr>
                              <w:pStyle w:val="TableParagraph"/>
                              <w:spacing w:line="189" w:lineRule="exact"/>
                              <w:ind w:left="5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μετασχηματισμού</w:t>
                            </w:r>
                            <w:r>
                              <w:rPr>
                                <w:spacing w:val="2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w w:val="90"/>
                                <w:sz w:val="16"/>
                              </w:rPr>
                              <w:t>€0,</w:t>
                            </w:r>
                          </w:p>
                          <w:p>
                            <w:pPr>
                              <w:pStyle w:val="TableParagraph"/>
                              <w:spacing w:line="190" w:lineRule="atLeast"/>
                              <w:ind w:left="50" w:right="-4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8"/>
                                <w:sz w:val="16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spacing w:val="-11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16"/>
                                <w:vertAlign w:val="baseline"/>
                              </w:rPr>
                              <w:t>Το</w:t>
                            </w:r>
                            <w:r>
                              <w:rPr>
                                <w:spacing w:val="-13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16"/>
                                <w:vertAlign w:val="baseline"/>
                              </w:rPr>
                              <w:t>β’</w:t>
                            </w:r>
                            <w:r>
                              <w:rPr>
                                <w:spacing w:val="-13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16"/>
                                <w:vertAlign w:val="baseline"/>
                              </w:rPr>
                              <w:t>τρίμηνο</w:t>
                            </w:r>
                            <w:r>
                              <w:rPr>
                                <w:spacing w:val="-10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16"/>
                                <w:vertAlign w:val="baseline"/>
                              </w:rPr>
                              <w:t>2026,</w:t>
                            </w:r>
                            <w:r>
                              <w:rPr>
                                <w:spacing w:val="-9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8"/>
                                <w:sz w:val="16"/>
                                <w:vertAlign w:val="baseline"/>
                              </w:rPr>
                              <w:t>η </w:t>
                            </w:r>
                            <w:r>
                              <w:rPr>
                                <w:w w:val="90"/>
                                <w:sz w:val="16"/>
                                <w:vertAlign w:val="baseline"/>
                              </w:rPr>
                              <w:t>συναλλαγή</w:t>
                            </w:r>
                            <w:r>
                              <w:rPr>
                                <w:spacing w:val="11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95"/>
                                <w:sz w:val="16"/>
                                <w:vertAlign w:val="baseline"/>
                              </w:rPr>
                              <w:t>«Avramar»</w:t>
                            </w:r>
                          </w:p>
                        </w:tc>
                      </w:tr>
                      <w:tr>
                        <w:trPr>
                          <w:trHeight w:val="124" w:hRule="atLeast"/>
                        </w:trPr>
                        <w:tc>
                          <w:tcPr>
                            <w:tcW w:w="1716" w:type="dxa"/>
                          </w:tcPr>
                          <w:p>
                            <w:pPr>
                              <w:pStyle w:val="TableParagraph"/>
                              <w:spacing w:line="105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spacing w:val="-8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6"/>
                                <w:vertAlign w:val="baseline"/>
                              </w:rPr>
                              <w:t>Λεπτομερής</w:t>
                            </w:r>
                            <w:r>
                              <w:rPr>
                                <w:spacing w:val="-9"/>
                                <w:sz w:val="1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6"/>
                                <w:vertAlign w:val="baseline"/>
                              </w:rPr>
                              <w:t>αναφορ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_bookmark2" w:id="3"/>
      <w:bookmarkEnd w:id="3"/>
      <w:r>
        <w:rPr/>
      </w:r>
      <w:r>
        <w:rPr>
          <w:w w:val="90"/>
          <w:sz w:val="16"/>
        </w:rPr>
        <w:t>α</w:t>
      </w:r>
      <w:r>
        <w:rPr>
          <w:spacing w:val="5"/>
          <w:sz w:val="16"/>
        </w:rPr>
        <w:t> </w:t>
      </w:r>
      <w:r>
        <w:rPr>
          <w:w w:val="90"/>
          <w:sz w:val="16"/>
        </w:rPr>
        <w:t>«Λοιπά</w:t>
      </w:r>
      <w:r>
        <w:rPr>
          <w:spacing w:val="2"/>
          <w:sz w:val="16"/>
        </w:rPr>
        <w:t> </w:t>
      </w:r>
      <w:r>
        <w:rPr>
          <w:w w:val="90"/>
          <w:sz w:val="16"/>
        </w:rPr>
        <w:t>Κονδύλια»</w:t>
      </w:r>
      <w:r>
        <w:rPr>
          <w:spacing w:val="2"/>
          <w:sz w:val="16"/>
        </w:rPr>
        <w:t> </w:t>
      </w:r>
      <w:r>
        <w:rPr>
          <w:w w:val="90"/>
          <w:sz w:val="16"/>
        </w:rPr>
        <w:t>αντιστοιχούν</w:t>
      </w:r>
      <w:r>
        <w:rPr>
          <w:spacing w:val="3"/>
          <w:sz w:val="16"/>
        </w:rPr>
        <w:t> </w:t>
      </w:r>
      <w:r>
        <w:rPr>
          <w:w w:val="90"/>
          <w:sz w:val="16"/>
        </w:rPr>
        <w:t>στο</w:t>
      </w:r>
      <w:r>
        <w:rPr>
          <w:spacing w:val="6"/>
          <w:sz w:val="16"/>
        </w:rPr>
        <w:t> </w:t>
      </w:r>
      <w:r>
        <w:rPr>
          <w:w w:val="90"/>
          <w:sz w:val="16"/>
        </w:rPr>
        <w:t>άθροισμα</w:t>
      </w:r>
      <w:r>
        <w:rPr>
          <w:spacing w:val="6"/>
          <w:sz w:val="16"/>
        </w:rPr>
        <w:t> </w:t>
      </w:r>
      <w:r>
        <w:rPr>
          <w:w w:val="90"/>
          <w:sz w:val="16"/>
        </w:rPr>
        <w:t>των:</w:t>
      </w:r>
      <w:r>
        <w:rPr>
          <w:spacing w:val="4"/>
          <w:sz w:val="16"/>
        </w:rPr>
        <w:t> </w:t>
      </w:r>
      <w:r>
        <w:rPr>
          <w:w w:val="90"/>
          <w:sz w:val="16"/>
        </w:rPr>
        <w:t>Λοπών</w:t>
      </w:r>
      <w:r>
        <w:rPr>
          <w:spacing w:val="2"/>
          <w:sz w:val="16"/>
        </w:rPr>
        <w:t> </w:t>
      </w:r>
      <w:r>
        <w:rPr>
          <w:w w:val="90"/>
          <w:sz w:val="16"/>
        </w:rPr>
        <w:t>Ζημιών</w:t>
      </w:r>
      <w:r>
        <w:rPr>
          <w:spacing w:val="3"/>
          <w:sz w:val="16"/>
        </w:rPr>
        <w:t> </w:t>
      </w:r>
      <w:r>
        <w:rPr>
          <w:w w:val="90"/>
          <w:sz w:val="16"/>
        </w:rPr>
        <w:t>απομείωσης</w:t>
      </w:r>
      <w:r>
        <w:rPr>
          <w:spacing w:val="14"/>
          <w:sz w:val="16"/>
        </w:rPr>
        <w:t> </w:t>
      </w:r>
      <w:r>
        <w:rPr>
          <w:w w:val="90"/>
          <w:sz w:val="16"/>
        </w:rPr>
        <w:t>-€0,3</w:t>
      </w:r>
      <w:r>
        <w:rPr>
          <w:spacing w:val="2"/>
          <w:sz w:val="16"/>
        </w:rPr>
        <w:t> </w:t>
      </w:r>
      <w:r>
        <w:rPr>
          <w:w w:val="90"/>
          <w:sz w:val="16"/>
        </w:rPr>
        <w:t>εκατ.,</w:t>
      </w:r>
      <w:r>
        <w:rPr>
          <w:spacing w:val="7"/>
          <w:sz w:val="16"/>
        </w:rPr>
        <w:t> </w:t>
      </w:r>
      <w:r>
        <w:rPr>
          <w:w w:val="90"/>
          <w:sz w:val="16"/>
        </w:rPr>
        <w:t>Ζημιών</w:t>
      </w:r>
      <w:r>
        <w:rPr>
          <w:spacing w:val="3"/>
          <w:sz w:val="16"/>
        </w:rPr>
        <w:t> </w:t>
      </w:r>
      <w:r>
        <w:rPr>
          <w:spacing w:val="-2"/>
          <w:w w:val="90"/>
          <w:sz w:val="16"/>
        </w:rPr>
        <w:t>απομείωσης</w:t>
      </w:r>
    </w:p>
    <w:p>
      <w:pPr>
        <w:spacing w:line="242" w:lineRule="auto" w:before="4"/>
        <w:ind w:left="1949" w:right="1444" w:firstLine="186"/>
        <w:jc w:val="left"/>
        <w:rPr>
          <w:sz w:val="16"/>
        </w:rPr>
      </w:pPr>
      <w:r>
        <w:rPr>
          <w:w w:val="90"/>
          <w:sz w:val="16"/>
        </w:rPr>
        <w:t>€0,6 εκατ., Κερδών/(ζημιών) από πώληση παγίων και συμμετοχών</w:t>
      </w:r>
      <w:r>
        <w:rPr>
          <w:sz w:val="16"/>
        </w:rPr>
        <w:t> </w:t>
      </w:r>
      <w:r>
        <w:rPr>
          <w:w w:val="90"/>
          <w:sz w:val="16"/>
        </w:rPr>
        <w:t>-€0,1 εκατ., Προβλέψεων και εξόδων</w:t>
      </w:r>
      <w:r>
        <w:rPr>
          <w:spacing w:val="40"/>
          <w:sz w:val="16"/>
        </w:rPr>
        <w:t> </w:t>
      </w:r>
      <w:r>
        <w:rPr>
          <w:spacing w:val="-4"/>
          <w:sz w:val="16"/>
        </w:rPr>
        <w:t>5</w:t>
      </w:r>
      <w:r>
        <w:rPr>
          <w:spacing w:val="-12"/>
          <w:sz w:val="16"/>
        </w:rPr>
        <w:t> </w:t>
      </w:r>
      <w:r>
        <w:rPr>
          <w:spacing w:val="-4"/>
          <w:sz w:val="16"/>
        </w:rPr>
        <w:t>εκατ.,</w:t>
      </w:r>
      <w:r>
        <w:rPr>
          <w:spacing w:val="-11"/>
          <w:sz w:val="16"/>
        </w:rPr>
        <w:t> </w:t>
      </w:r>
      <w:r>
        <w:rPr>
          <w:spacing w:val="-4"/>
          <w:sz w:val="16"/>
        </w:rPr>
        <w:t>και</w:t>
      </w:r>
      <w:r>
        <w:rPr>
          <w:spacing w:val="-14"/>
          <w:sz w:val="16"/>
        </w:rPr>
        <w:t> </w:t>
      </w:r>
      <w:r>
        <w:rPr>
          <w:spacing w:val="-4"/>
          <w:sz w:val="16"/>
        </w:rPr>
        <w:t>αναλογίας</w:t>
      </w:r>
      <w:r>
        <w:rPr>
          <w:spacing w:val="-10"/>
          <w:sz w:val="16"/>
        </w:rPr>
        <w:t> </w:t>
      </w:r>
      <w:r>
        <w:rPr>
          <w:spacing w:val="-4"/>
          <w:sz w:val="16"/>
        </w:rPr>
        <w:t>κερδών</w:t>
      </w:r>
      <w:r>
        <w:rPr>
          <w:spacing w:val="-14"/>
          <w:sz w:val="16"/>
        </w:rPr>
        <w:t> </w:t>
      </w:r>
      <w:r>
        <w:rPr>
          <w:spacing w:val="-4"/>
          <w:sz w:val="16"/>
        </w:rPr>
        <w:t>/</w:t>
      </w:r>
      <w:r>
        <w:rPr>
          <w:spacing w:val="-13"/>
          <w:sz w:val="16"/>
        </w:rPr>
        <w:t> </w:t>
      </w:r>
      <w:r>
        <w:rPr>
          <w:spacing w:val="-4"/>
          <w:sz w:val="16"/>
        </w:rPr>
        <w:t>(ζημιών)</w:t>
      </w:r>
      <w:r>
        <w:rPr>
          <w:spacing w:val="-12"/>
          <w:sz w:val="16"/>
        </w:rPr>
        <w:t> </w:t>
      </w:r>
      <w:r>
        <w:rPr>
          <w:spacing w:val="-4"/>
          <w:sz w:val="16"/>
        </w:rPr>
        <w:t>από</w:t>
      </w:r>
      <w:r>
        <w:rPr>
          <w:spacing w:val="-11"/>
          <w:sz w:val="16"/>
        </w:rPr>
        <w:t> </w:t>
      </w:r>
      <w:r>
        <w:rPr>
          <w:spacing w:val="-4"/>
          <w:sz w:val="16"/>
        </w:rPr>
        <w:t>συγγενείς</w:t>
      </w:r>
      <w:r>
        <w:rPr>
          <w:spacing w:val="-10"/>
          <w:sz w:val="16"/>
        </w:rPr>
        <w:t> </w:t>
      </w:r>
      <w:r>
        <w:rPr>
          <w:spacing w:val="-4"/>
          <w:sz w:val="16"/>
        </w:rPr>
        <w:t>εταιρείες</w:t>
      </w:r>
      <w:r>
        <w:rPr>
          <w:spacing w:val="-10"/>
          <w:sz w:val="16"/>
        </w:rPr>
        <w:t> </w:t>
      </w:r>
      <w:r>
        <w:rPr>
          <w:spacing w:val="-4"/>
          <w:sz w:val="16"/>
        </w:rPr>
        <w:t>και</w:t>
      </w:r>
      <w:r>
        <w:rPr>
          <w:spacing w:val="-14"/>
          <w:sz w:val="16"/>
        </w:rPr>
        <w:t> </w:t>
      </w:r>
      <w:r>
        <w:rPr>
          <w:spacing w:val="-4"/>
          <w:sz w:val="16"/>
        </w:rPr>
        <w:t>κοινοπραξίες</w:t>
      </w:r>
      <w:r>
        <w:rPr>
          <w:spacing w:val="-13"/>
          <w:sz w:val="16"/>
        </w:rPr>
        <w:t> </w:t>
      </w:r>
      <w:r>
        <w:rPr>
          <w:spacing w:val="-4"/>
          <w:sz w:val="16"/>
        </w:rPr>
        <w:t>€8,2</w:t>
      </w:r>
      <w:r>
        <w:rPr>
          <w:spacing w:val="-14"/>
          <w:sz w:val="16"/>
        </w:rPr>
        <w:t> </w:t>
      </w:r>
      <w:r>
        <w:rPr>
          <w:spacing w:val="-4"/>
          <w:sz w:val="16"/>
        </w:rPr>
        <w:t>εκατ.</w:t>
      </w:r>
    </w:p>
    <w:p>
      <w:pPr>
        <w:spacing w:line="242" w:lineRule="auto" w:before="4"/>
        <w:ind w:left="2067" w:right="511" w:firstLine="1"/>
        <w:jc w:val="left"/>
        <w:rPr>
          <w:sz w:val="16"/>
        </w:rPr>
      </w:pPr>
      <w:bookmarkStart w:name="_bookmark3" w:id="4"/>
      <w:bookmarkEnd w:id="4"/>
      <w:r>
        <w:rPr/>
      </w:r>
      <w:r>
        <w:rPr>
          <w:spacing w:val="-6"/>
          <w:sz w:val="16"/>
        </w:rPr>
        <w:t>επίπτωση από τις συναλλαγές ΜΕΑ ύψους -€0,7 εκατ. περιλαμβάνει κυρίως απομειώσεις οι</w:t>
      </w:r>
      <w:r>
        <w:rPr>
          <w:spacing w:val="-7"/>
          <w:sz w:val="16"/>
        </w:rPr>
        <w:t> </w:t>
      </w:r>
      <w:r>
        <w:rPr>
          <w:spacing w:val="-6"/>
          <w:sz w:val="16"/>
        </w:rPr>
        <w:t>οποίες σχετίζονται με τη </w:t>
      </w:r>
      <w:r>
        <w:rPr>
          <w:spacing w:val="-2"/>
          <w:sz w:val="16"/>
        </w:rPr>
        <w:t>καθώς</w:t>
      </w:r>
      <w:r>
        <w:rPr>
          <w:spacing w:val="-13"/>
          <w:sz w:val="16"/>
        </w:rPr>
        <w:t> </w:t>
      </w:r>
      <w:r>
        <w:rPr>
          <w:spacing w:val="-2"/>
          <w:sz w:val="16"/>
        </w:rPr>
        <w:t>και</w:t>
      </w:r>
      <w:r>
        <w:rPr>
          <w:spacing w:val="-12"/>
          <w:sz w:val="16"/>
        </w:rPr>
        <w:t> </w:t>
      </w:r>
      <w:r>
        <w:rPr>
          <w:spacing w:val="-2"/>
          <w:sz w:val="16"/>
        </w:rPr>
        <w:t>φόρους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που</w:t>
      </w:r>
      <w:r>
        <w:rPr>
          <w:spacing w:val="-12"/>
          <w:sz w:val="16"/>
        </w:rPr>
        <w:t> </w:t>
      </w:r>
      <w:r>
        <w:rPr>
          <w:spacing w:val="-2"/>
          <w:sz w:val="16"/>
        </w:rPr>
        <w:t>σχετίζονται</w:t>
      </w:r>
      <w:r>
        <w:rPr>
          <w:spacing w:val="-14"/>
          <w:sz w:val="16"/>
        </w:rPr>
        <w:t> </w:t>
      </w:r>
      <w:r>
        <w:rPr>
          <w:spacing w:val="-2"/>
          <w:sz w:val="16"/>
        </w:rPr>
        <w:t>με</w:t>
      </w:r>
      <w:r>
        <w:rPr>
          <w:spacing w:val="-12"/>
          <w:sz w:val="16"/>
        </w:rPr>
        <w:t> </w:t>
      </w:r>
      <w:r>
        <w:rPr>
          <w:spacing w:val="-2"/>
          <w:sz w:val="16"/>
        </w:rPr>
        <w:t>τα</w:t>
      </w:r>
      <w:r>
        <w:rPr>
          <w:spacing w:val="-14"/>
          <w:sz w:val="16"/>
        </w:rPr>
        <w:t> </w:t>
      </w:r>
      <w:r>
        <w:rPr>
          <w:spacing w:val="-2"/>
          <w:sz w:val="16"/>
        </w:rPr>
        <w:t>παραπάνω.</w:t>
      </w:r>
    </w:p>
    <w:p>
      <w:pPr>
        <w:spacing w:line="244" w:lineRule="auto" w:before="3"/>
        <w:ind w:left="317" w:right="0" w:firstLine="1620"/>
        <w:jc w:val="left"/>
        <w:rPr>
          <w:sz w:val="16"/>
        </w:rPr>
      </w:pPr>
      <w:bookmarkStart w:name="_bookmark4" w:id="5"/>
      <w:bookmarkEnd w:id="5"/>
      <w:r>
        <w:rPr/>
      </w:r>
      <w:r>
        <w:rPr>
          <w:spacing w:val="-6"/>
          <w:sz w:val="16"/>
        </w:rPr>
        <w:t>ά για</w:t>
      </w:r>
      <w:r>
        <w:rPr>
          <w:spacing w:val="-8"/>
          <w:sz w:val="16"/>
        </w:rPr>
        <w:t> </w:t>
      </w:r>
      <w:r>
        <w:rPr>
          <w:spacing w:val="-6"/>
          <w:sz w:val="16"/>
        </w:rPr>
        <w:t>τα</w:t>
      </w:r>
      <w:r>
        <w:rPr>
          <w:spacing w:val="-8"/>
          <w:sz w:val="16"/>
        </w:rPr>
        <w:t> </w:t>
      </w:r>
      <w:r>
        <w:rPr>
          <w:spacing w:val="-6"/>
          <w:sz w:val="16"/>
        </w:rPr>
        <w:t>προσαρμοσμένα</w:t>
      </w:r>
      <w:r>
        <w:rPr>
          <w:spacing w:val="-8"/>
          <w:sz w:val="16"/>
        </w:rPr>
        <w:t> </w:t>
      </w:r>
      <w:r>
        <w:rPr>
          <w:spacing w:val="-6"/>
          <w:sz w:val="16"/>
        </w:rPr>
        <w:t>Καθαρά</w:t>
      </w:r>
      <w:r>
        <w:rPr>
          <w:spacing w:val="-8"/>
          <w:sz w:val="16"/>
        </w:rPr>
        <w:t> </w:t>
      </w:r>
      <w:r>
        <w:rPr>
          <w:spacing w:val="-6"/>
          <w:sz w:val="16"/>
        </w:rPr>
        <w:t>Κέρδη υπάρχει στην</w:t>
      </w:r>
      <w:r>
        <w:rPr>
          <w:spacing w:val="-7"/>
          <w:sz w:val="16"/>
        </w:rPr>
        <w:t> </w:t>
      </w:r>
      <w:r>
        <w:rPr>
          <w:spacing w:val="-6"/>
          <w:sz w:val="16"/>
        </w:rPr>
        <w:t>τελευταία σελίδα του</w:t>
      </w:r>
      <w:r>
        <w:rPr>
          <w:spacing w:val="-8"/>
          <w:sz w:val="16"/>
        </w:rPr>
        <w:t> </w:t>
      </w:r>
      <w:r>
        <w:rPr>
          <w:spacing w:val="-6"/>
          <w:sz w:val="16"/>
        </w:rPr>
        <w:t>Δελτίου στον πίνακα «Εναλλακτικοί Δείκτες </w:t>
      </w:r>
      <w:r>
        <w:rPr>
          <w:sz w:val="16"/>
        </w:rPr>
        <w:t>Μέτρησης Απόδοσης (ΕΔΜΑ)».</w:t>
      </w:r>
    </w:p>
    <w:p>
      <w:pPr>
        <w:spacing w:after="0" w:line="244" w:lineRule="auto"/>
        <w:jc w:val="left"/>
        <w:rPr>
          <w:sz w:val="16"/>
        </w:rPr>
        <w:sectPr>
          <w:pgSz w:w="11920" w:h="16850"/>
          <w:pgMar w:header="639" w:footer="648" w:top="1260" w:bottom="840" w:left="283" w:right="425"/>
        </w:sectPr>
      </w:pPr>
    </w:p>
    <w:p>
      <w:pPr>
        <w:pStyle w:val="BodyText"/>
        <w:spacing w:before="131"/>
        <w:rPr>
          <w:sz w:val="28"/>
        </w:rPr>
      </w:pPr>
    </w:p>
    <w:p>
      <w:pPr>
        <w:pStyle w:val="Heading1"/>
      </w:pPr>
      <w:r>
        <w:rPr>
          <w:color w:val="5B92C9"/>
          <w:spacing w:val="-4"/>
        </w:rPr>
        <w:t>Σχετικά</w:t>
      </w:r>
      <w:r>
        <w:rPr>
          <w:color w:val="5B92C9"/>
          <w:spacing w:val="-12"/>
        </w:rPr>
        <w:t> </w:t>
      </w:r>
      <w:r>
        <w:rPr>
          <w:color w:val="5B92C9"/>
          <w:spacing w:val="-4"/>
        </w:rPr>
        <w:t>με</w:t>
      </w:r>
      <w:r>
        <w:rPr>
          <w:color w:val="5B92C9"/>
          <w:spacing w:val="-11"/>
        </w:rPr>
        <w:t> </w:t>
      </w:r>
      <w:r>
        <w:rPr>
          <w:color w:val="5B92C9"/>
          <w:spacing w:val="-4"/>
        </w:rPr>
        <w:t>την</w:t>
      </w:r>
      <w:r>
        <w:rPr>
          <w:color w:val="5B92C9"/>
          <w:spacing w:val="-15"/>
        </w:rPr>
        <w:t> </w:t>
      </w:r>
      <w:r>
        <w:rPr>
          <w:color w:val="5B92C9"/>
          <w:spacing w:val="-4"/>
        </w:rPr>
        <w:t>Αlpha</w:t>
      </w:r>
      <w:r>
        <w:rPr>
          <w:color w:val="5B92C9"/>
          <w:spacing w:val="-9"/>
        </w:rPr>
        <w:t> </w:t>
      </w:r>
      <w:r>
        <w:rPr>
          <w:color w:val="5B92C9"/>
          <w:spacing w:val="-4"/>
        </w:rPr>
        <w:t>Bank</w:t>
      </w:r>
    </w:p>
    <w:p>
      <w:pPr>
        <w:spacing w:line="243" w:lineRule="exact" w:before="236"/>
        <w:ind w:left="566" w:right="0" w:firstLine="0"/>
        <w:jc w:val="left"/>
        <w:rPr>
          <w:sz w:val="20"/>
        </w:rPr>
      </w:pPr>
      <w:r>
        <w:rPr>
          <w:spacing w:val="-6"/>
          <w:sz w:val="20"/>
        </w:rPr>
        <w:t>Η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Αlpha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Τράπεζα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Ανώνυμη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Εταιρεία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(με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διακριτικό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τίτλο Alpha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Bank)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είναι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πιστωτικό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ίδρυμα,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εισηγμένο</w:t>
      </w:r>
    </w:p>
    <w:p>
      <w:pPr>
        <w:spacing w:before="0"/>
        <w:ind w:left="566" w:right="582" w:firstLine="0"/>
        <w:jc w:val="left"/>
        <w:rPr>
          <w:sz w:val="20"/>
        </w:rPr>
      </w:pPr>
      <w:r>
        <w:rPr>
          <w:spacing w:val="-6"/>
          <w:sz w:val="20"/>
        </w:rPr>
        <w:t>στην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Κύρια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Αγορά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του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Χρηματιστηρίου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Αθηνών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και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μητρική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εταιρεία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του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ομίλου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εταιρειών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(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Όμιλος</w:t>
      </w:r>
      <w:r>
        <w:rPr>
          <w:sz w:val="20"/>
        </w:rPr>
        <w:t> </w:t>
      </w:r>
      <w:r>
        <w:rPr>
          <w:spacing w:val="-6"/>
          <w:sz w:val="20"/>
        </w:rPr>
        <w:t>Alpha </w:t>
      </w:r>
      <w:r>
        <w:rPr>
          <w:spacing w:val="-2"/>
          <w:sz w:val="20"/>
        </w:rPr>
        <w:t>Bank).</w:t>
      </w:r>
    </w:p>
    <w:p>
      <w:pPr>
        <w:spacing w:before="168"/>
        <w:ind w:left="566" w:right="213" w:firstLine="0"/>
        <w:jc w:val="left"/>
        <w:rPr>
          <w:sz w:val="20"/>
        </w:rPr>
      </w:pPr>
      <w:r>
        <w:rPr>
          <w:spacing w:val="-6"/>
          <w:sz w:val="20"/>
        </w:rPr>
        <w:t>Μετά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τον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εταιρικό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μετασχηματισμό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που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πραγματοποιήθηκε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τον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Ιούνιο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του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2025,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η Alpha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Bank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απορρόφησε την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100% μητρική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της</w:t>
      </w:r>
      <w:r>
        <w:rPr>
          <w:spacing w:val="-8"/>
          <w:sz w:val="20"/>
        </w:rPr>
        <w:t> </w:t>
      </w:r>
      <w:r>
        <w:rPr>
          <w:spacing w:val="-6"/>
          <w:sz w:val="20"/>
        </w:rPr>
        <w:t>εταιρεία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Αlpha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Yπηρεσιών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και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Συμμετοχών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Ανώνυμη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Εταιρεία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και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υποκαταστάθηκε</w:t>
      </w:r>
      <w:r>
        <w:rPr>
          <w:spacing w:val="-9"/>
          <w:sz w:val="20"/>
        </w:rPr>
        <w:t> </w:t>
      </w:r>
      <w:r>
        <w:rPr>
          <w:spacing w:val="-6"/>
          <w:sz w:val="20"/>
        </w:rPr>
        <w:t>εκ του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νόμου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ως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καθολική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διάδοχος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σε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ολόκληρη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την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περιουσία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(ενεργητικό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και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παθητικό)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της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Αlpha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Yπηρεσιών </w:t>
      </w:r>
      <w:r>
        <w:rPr>
          <w:sz w:val="20"/>
        </w:rPr>
        <w:t>και</w:t>
      </w:r>
      <w:r>
        <w:rPr>
          <w:spacing w:val="-4"/>
          <w:sz w:val="20"/>
        </w:rPr>
        <w:t> </w:t>
      </w:r>
      <w:r>
        <w:rPr>
          <w:sz w:val="20"/>
        </w:rPr>
        <w:t>Συμμετοχών</w:t>
      </w:r>
      <w:r>
        <w:rPr>
          <w:spacing w:val="-3"/>
          <w:sz w:val="20"/>
        </w:rPr>
        <w:t> </w:t>
      </w:r>
      <w:r>
        <w:rPr>
          <w:sz w:val="20"/>
        </w:rPr>
        <w:t>Α.Ε.</w:t>
      </w:r>
    </w:p>
    <w:p>
      <w:pPr>
        <w:spacing w:before="171"/>
        <w:ind w:left="566" w:right="749" w:firstLine="0"/>
        <w:jc w:val="left"/>
        <w:rPr>
          <w:sz w:val="20"/>
        </w:rPr>
      </w:pPr>
      <w:r>
        <w:rPr>
          <w:spacing w:val="-6"/>
          <w:sz w:val="20"/>
        </w:rPr>
        <w:t>Ο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Όμιλος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Alpha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Bank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είναι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ένας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από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τους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κορυφαίους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Ομίλους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του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χρηματοοικονομικού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τομέα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στην Ελλάδα,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που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ιδρύθηκε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το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1879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από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τον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Ι.Φ.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Κωστόπουλο.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Η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Τράπεζα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προσφέρει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ευρύ</w:t>
      </w:r>
      <w:r>
        <w:rPr>
          <w:spacing w:val="-13"/>
          <w:sz w:val="20"/>
        </w:rPr>
        <w:t> </w:t>
      </w:r>
      <w:r>
        <w:rPr>
          <w:spacing w:val="-6"/>
          <w:sz w:val="20"/>
        </w:rPr>
        <w:t>φάσμα</w:t>
      </w:r>
    </w:p>
    <w:p>
      <w:pPr>
        <w:spacing w:line="240" w:lineRule="auto" w:before="0"/>
        <w:ind w:left="566" w:right="582" w:firstLine="0"/>
        <w:jc w:val="left"/>
        <w:rPr>
          <w:sz w:val="20"/>
        </w:rPr>
      </w:pPr>
      <w:r>
        <w:rPr>
          <w:spacing w:val="-6"/>
          <w:sz w:val="20"/>
        </w:rPr>
        <w:t>χρηματοοικονομικών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προϊόντων</w:t>
      </w:r>
      <w:r>
        <w:rPr>
          <w:spacing w:val="-16"/>
          <w:sz w:val="20"/>
        </w:rPr>
        <w:t> </w:t>
      </w:r>
      <w:r>
        <w:rPr>
          <w:spacing w:val="-6"/>
          <w:sz w:val="20"/>
        </w:rPr>
        <w:t>και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υπηρεσιών</w:t>
      </w:r>
      <w:r>
        <w:rPr>
          <w:spacing w:val="-11"/>
          <w:sz w:val="20"/>
        </w:rPr>
        <w:t> </w:t>
      </w:r>
      <w:r>
        <w:rPr>
          <w:spacing w:val="-6"/>
          <w:sz w:val="20"/>
        </w:rPr>
        <w:t>υψηλής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ποιότητας,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όπως</w:t>
      </w:r>
      <w:r>
        <w:rPr>
          <w:spacing w:val="-14"/>
          <w:sz w:val="20"/>
        </w:rPr>
        <w:t> </w:t>
      </w:r>
      <w:r>
        <w:rPr>
          <w:spacing w:val="-6"/>
          <w:sz w:val="20"/>
        </w:rPr>
        <w:t>λιανική</w:t>
      </w:r>
      <w:r>
        <w:rPr>
          <w:spacing w:val="-15"/>
          <w:sz w:val="20"/>
        </w:rPr>
        <w:t> </w:t>
      </w:r>
      <w:r>
        <w:rPr>
          <w:spacing w:val="-6"/>
          <w:sz w:val="20"/>
        </w:rPr>
        <w:t>τραπεζική,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τραπεζική</w:t>
      </w:r>
      <w:r>
        <w:rPr>
          <w:spacing w:val="-12"/>
          <w:sz w:val="20"/>
        </w:rPr>
        <w:t> </w:t>
      </w:r>
      <w:r>
        <w:rPr>
          <w:spacing w:val="-6"/>
          <w:sz w:val="20"/>
        </w:rPr>
        <w:t>για </w:t>
      </w:r>
      <w:r>
        <w:rPr>
          <w:spacing w:val="-4"/>
          <w:sz w:val="20"/>
        </w:rPr>
        <w:t>ΜμΕ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και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επιχειρηματική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τραπεζική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(corporate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banking),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διαχείριση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περιουσιακών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στοιχείων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και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private banking,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διανομή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ασφαλιστικών</w:t>
      </w:r>
      <w:r>
        <w:rPr>
          <w:spacing w:val="-16"/>
          <w:sz w:val="20"/>
        </w:rPr>
        <w:t> </w:t>
      </w:r>
      <w:r>
        <w:rPr>
          <w:spacing w:val="-4"/>
          <w:sz w:val="20"/>
        </w:rPr>
        <w:t>προϊόντων,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επενδυτική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τραπεζική,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μεσιτεία</w:t>
      </w:r>
      <w:r>
        <w:rPr>
          <w:spacing w:val="-14"/>
          <w:sz w:val="20"/>
        </w:rPr>
        <w:t> </w:t>
      </w:r>
      <w:r>
        <w:rPr>
          <w:spacing w:val="-4"/>
          <w:sz w:val="20"/>
        </w:rPr>
        <w:t>και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διαχείριση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ακινήτων.</w:t>
      </w:r>
    </w:p>
    <w:p>
      <w:pPr>
        <w:pStyle w:val="BodyText"/>
        <w:spacing w:before="31"/>
        <w:rPr>
          <w:sz w:val="20"/>
        </w:rPr>
      </w:pPr>
    </w:p>
    <w:p>
      <w:pPr>
        <w:spacing w:before="0"/>
        <w:ind w:left="566" w:right="0" w:firstLine="0"/>
        <w:jc w:val="left"/>
        <w:rPr>
          <w:rFonts w:ascii="Calibri"/>
          <w:sz w:val="20"/>
        </w:rPr>
      </w:pPr>
      <w:hyperlink r:id="rId35">
        <w:r>
          <w:rPr>
            <w:rFonts w:ascii="Calibri"/>
            <w:color w:val="0000FF"/>
            <w:spacing w:val="-2"/>
            <w:sz w:val="20"/>
            <w:u w:val="single" w:color="0000FF"/>
          </w:rPr>
          <w:t>https://www.alpha.gr/el/omilos/enimerosi-ependuton</w:t>
        </w:r>
      </w:hyperlink>
    </w:p>
    <w:p>
      <w:pPr>
        <w:pStyle w:val="BodyText"/>
        <w:spacing w:before="202"/>
        <w:rPr>
          <w:rFonts w:ascii="Calibri"/>
          <w:sz w:val="28"/>
        </w:rPr>
      </w:pPr>
    </w:p>
    <w:p>
      <w:pPr>
        <w:pStyle w:val="Heading1"/>
        <w:spacing w:before="1"/>
      </w:pPr>
      <w:r>
        <w:rPr>
          <w:color w:val="5B92C9"/>
          <w:spacing w:val="-2"/>
        </w:rPr>
        <w:t>Πληροφορίες</w:t>
      </w:r>
    </w:p>
    <w:p>
      <w:pPr>
        <w:tabs>
          <w:tab w:pos="5749" w:val="left" w:leader="none"/>
        </w:tabs>
        <w:spacing w:before="254"/>
        <w:ind w:left="648" w:right="0" w:firstLine="0"/>
        <w:jc w:val="left"/>
        <w:rPr>
          <w:rFonts w:ascii="Tahoma"/>
          <w:b/>
          <w:sz w:val="28"/>
        </w:rPr>
      </w:pPr>
      <w:r>
        <w:rPr>
          <w:rFonts w:ascii="Tahoma"/>
          <w:b/>
          <w:color w:val="5B92C9"/>
          <w:spacing w:val="-4"/>
          <w:sz w:val="28"/>
        </w:rPr>
        <w:t>Alpha</w:t>
      </w:r>
      <w:r>
        <w:rPr>
          <w:rFonts w:ascii="Tahoma"/>
          <w:b/>
          <w:color w:val="5B92C9"/>
          <w:spacing w:val="-13"/>
          <w:sz w:val="28"/>
        </w:rPr>
        <w:t> </w:t>
      </w:r>
      <w:r>
        <w:rPr>
          <w:rFonts w:ascii="Tahoma"/>
          <w:b/>
          <w:color w:val="5B92C9"/>
          <w:spacing w:val="-4"/>
          <w:sz w:val="28"/>
        </w:rPr>
        <w:t>Bank</w:t>
      </w:r>
      <w:r>
        <w:rPr>
          <w:rFonts w:ascii="Tahoma"/>
          <w:b/>
          <w:color w:val="5B92C9"/>
          <w:sz w:val="28"/>
        </w:rPr>
        <w:tab/>
        <w:t>FGS</w:t>
      </w:r>
      <w:r>
        <w:rPr>
          <w:rFonts w:ascii="Tahoma"/>
          <w:b/>
          <w:color w:val="5B92C9"/>
          <w:spacing w:val="5"/>
          <w:sz w:val="28"/>
        </w:rPr>
        <w:t> </w:t>
      </w:r>
      <w:r>
        <w:rPr>
          <w:rFonts w:ascii="Tahoma"/>
          <w:b/>
          <w:color w:val="5B92C9"/>
          <w:spacing w:val="-2"/>
          <w:sz w:val="28"/>
        </w:rPr>
        <w:t>Global</w:t>
      </w:r>
    </w:p>
    <w:p>
      <w:pPr>
        <w:pStyle w:val="BodyText"/>
        <w:spacing w:before="11"/>
        <w:rPr>
          <w:rFonts w:ascii="Tahoma"/>
          <w:b/>
          <w:sz w:val="7"/>
        </w:rPr>
      </w:pPr>
      <w:r>
        <w:rPr>
          <w:rFonts w:ascii="Tahoma"/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539750</wp:posOffset>
                </wp:positionH>
                <wp:positionV relativeFrom="paragraph">
                  <wp:posOffset>75903</wp:posOffset>
                </wp:positionV>
                <wp:extent cx="6480175" cy="9525"/>
                <wp:effectExtent l="0" t="0" r="0" b="0"/>
                <wp:wrapTopAndBottom/>
                <wp:docPr id="313" name="Group 3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3" name="Group 313"/>
                      <wpg:cNvGrpSpPr/>
                      <wpg:grpSpPr>
                        <a:xfrm>
                          <a:off x="0" y="0"/>
                          <a:ext cx="6480175" cy="9525"/>
                          <a:chExt cx="6480175" cy="9525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3237229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0" y="3175"/>
                                </a:moveTo>
                                <a:lnTo>
                                  <a:pt x="929" y="929"/>
                                </a:lnTo>
                                <a:lnTo>
                                  <a:pt x="3175" y="0"/>
                                </a:lnTo>
                                <a:lnTo>
                                  <a:pt x="5420" y="929"/>
                                </a:lnTo>
                                <a:lnTo>
                                  <a:pt x="6350" y="3175"/>
                                </a:lnTo>
                                <a:lnTo>
                                  <a:pt x="5420" y="5420"/>
                                </a:lnTo>
                                <a:lnTo>
                                  <a:pt x="3175" y="6350"/>
                                </a:lnTo>
                                <a:lnTo>
                                  <a:pt x="929" y="5420"/>
                                </a:lnTo>
                                <a:lnTo>
                                  <a:pt x="0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36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0" y="6350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0">
                                <a:moveTo>
                                  <a:pt x="0" y="0"/>
                                </a:moveTo>
                                <a:lnTo>
                                  <a:pt x="3240404" y="0"/>
                                </a:lnTo>
                              </a:path>
                              <a:path w="6480175" h="0">
                                <a:moveTo>
                                  <a:pt x="3240404" y="0"/>
                                </a:moveTo>
                                <a:lnTo>
                                  <a:pt x="64801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1136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pt;margin-top:5.976653pt;width:510.25pt;height:.75pt;mso-position-horizontal-relative:page;mso-position-vertical-relative:paragraph;z-index:-15696896;mso-wrap-distance-left:0;mso-wrap-distance-right:0" id="docshapegroup286" coordorigin="850,120" coordsize="10205,15">
                <v:shape style="position:absolute;left:5948;top:119;width:10;height:10" id="docshape287" coordorigin="5948,120" coordsize="10,10" path="m5948,125l5949,121,5953,120,5957,121,5958,125,5957,128,5953,130,5949,128,5948,125xe" filled="true" fillcolor="#11366b" stroked="false">
                  <v:path arrowok="t"/>
                  <v:fill type="solid"/>
                </v:shape>
                <v:shape style="position:absolute;left:850;top:129;width:10205;height:2" id="docshape288" coordorigin="850,130" coordsize="10205,0" path="m850,130l5953,130m5953,130l11055,130e" filled="false" stroked="true" strokeweight=".5pt" strokecolor="#11366b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Tahoma"/>
          <w:b/>
          <w:sz w:val="7"/>
        </w:rPr>
      </w:pPr>
    </w:p>
    <w:p>
      <w:pPr>
        <w:pStyle w:val="BodyText"/>
        <w:spacing w:after="0"/>
        <w:rPr>
          <w:rFonts w:ascii="Tahoma"/>
          <w:b/>
          <w:sz w:val="7"/>
        </w:rPr>
        <w:sectPr>
          <w:pgSz w:w="11920" w:h="16850"/>
          <w:pgMar w:header="639" w:footer="648" w:top="1260" w:bottom="840" w:left="283" w:right="425"/>
        </w:sectPr>
      </w:pPr>
    </w:p>
    <w:p>
      <w:pPr>
        <w:spacing w:before="59"/>
        <w:ind w:left="648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Ιάσων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pacing w:val="-2"/>
          <w:sz w:val="20"/>
        </w:rPr>
        <w:t>Κεπαπτσόγλου</w:t>
      </w:r>
    </w:p>
    <w:p>
      <w:pPr>
        <w:spacing w:line="242" w:lineRule="exact" w:before="15"/>
        <w:ind w:left="648" w:right="0" w:firstLine="0"/>
        <w:jc w:val="left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Director</w:t>
      </w:r>
    </w:p>
    <w:p>
      <w:pPr>
        <w:spacing w:line="237" w:lineRule="auto" w:before="0"/>
        <w:ind w:left="648" w:right="1865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Investor Relations </w:t>
      </w:r>
      <w:r>
        <w:rPr>
          <w:rFonts w:ascii="Calibri"/>
          <w:spacing w:val="-2"/>
          <w:sz w:val="20"/>
        </w:rPr>
        <w:t>E-mail:</w:t>
      </w:r>
      <w:r>
        <w:rPr>
          <w:rFonts w:ascii="Calibri"/>
          <w:spacing w:val="-10"/>
          <w:sz w:val="20"/>
        </w:rPr>
        <w:t> </w:t>
      </w:r>
      <w:hyperlink r:id="rId36">
        <w:r>
          <w:rPr>
            <w:rFonts w:ascii="Calibri"/>
            <w:color w:val="0000FF"/>
            <w:spacing w:val="-2"/>
            <w:sz w:val="20"/>
            <w:u w:val="single" w:color="0000FF"/>
          </w:rPr>
          <w:t>ir@alpha.gr</w:t>
        </w:r>
      </w:hyperlink>
    </w:p>
    <w:p>
      <w:pPr>
        <w:spacing w:before="5"/>
        <w:ind w:left="648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Τηλ: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+30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210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326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2271,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+30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210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326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pacing w:val="-4"/>
          <w:sz w:val="20"/>
        </w:rPr>
        <w:t>2274</w:t>
      </w:r>
    </w:p>
    <w:p>
      <w:pPr>
        <w:spacing w:line="243" w:lineRule="exact" w:before="62"/>
        <w:ind w:left="650" w:right="0" w:firstLine="0"/>
        <w:jc w:val="left"/>
        <w:rPr>
          <w:rFonts w:ascii="Calibri"/>
          <w:sz w:val="20"/>
        </w:rPr>
      </w:pPr>
      <w:r>
        <w:rPr/>
        <w:br w:type="column"/>
      </w:r>
      <w:r>
        <w:rPr>
          <w:rFonts w:ascii="Calibri"/>
          <w:spacing w:val="-2"/>
          <w:sz w:val="20"/>
        </w:rPr>
        <w:t>Edward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2"/>
          <w:sz w:val="20"/>
        </w:rPr>
        <w:t>Simpkins</w:t>
      </w:r>
    </w:p>
    <w:p>
      <w:pPr>
        <w:spacing w:line="243" w:lineRule="exact" w:before="0"/>
        <w:ind w:left="648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Τηλ: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+44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z w:val="20"/>
        </w:rPr>
        <w:t>207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251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pacing w:val="-4"/>
          <w:sz w:val="20"/>
        </w:rPr>
        <w:t>3801</w:t>
      </w:r>
    </w:p>
    <w:p>
      <w:pPr>
        <w:spacing w:after="0" w:line="243" w:lineRule="exact"/>
        <w:jc w:val="left"/>
        <w:rPr>
          <w:rFonts w:ascii="Calibri" w:hAnsi="Calibri"/>
          <w:sz w:val="20"/>
        </w:rPr>
        <w:sectPr>
          <w:type w:val="continuous"/>
          <w:pgSz w:w="11920" w:h="16850"/>
          <w:pgMar w:header="639" w:footer="648" w:top="1940" w:bottom="280" w:left="283" w:right="425"/>
          <w:cols w:num="2" w:equalWidth="0">
            <w:col w:w="4062" w:space="1277"/>
            <w:col w:w="5873"/>
          </w:cols>
        </w:sectPr>
      </w:pPr>
    </w:p>
    <w:p>
      <w:pPr>
        <w:pStyle w:val="BodyText"/>
        <w:spacing w:before="243"/>
        <w:rPr>
          <w:rFonts w:ascii="Calibri"/>
          <w:sz w:val="20"/>
        </w:rPr>
      </w:pPr>
    </w:p>
    <w:p>
      <w:pPr>
        <w:spacing w:before="1"/>
        <w:ind w:left="566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</w:rPr>
        <w:t>Disclaimer</w:t>
      </w:r>
    </w:p>
    <w:p>
      <w:pPr>
        <w:spacing w:line="156" w:lineRule="exact" w:before="166"/>
        <w:ind w:left="566" w:right="0" w:firstLine="0"/>
        <w:jc w:val="left"/>
        <w:rPr>
          <w:sz w:val="14"/>
        </w:rPr>
      </w:pPr>
      <w:r>
        <w:rPr>
          <w:w w:val="90"/>
          <w:sz w:val="14"/>
        </w:rPr>
        <w:t>Το</w:t>
      </w:r>
      <w:r>
        <w:rPr>
          <w:spacing w:val="4"/>
          <w:sz w:val="14"/>
        </w:rPr>
        <w:t> </w:t>
      </w:r>
      <w:r>
        <w:rPr>
          <w:w w:val="90"/>
          <w:sz w:val="14"/>
        </w:rPr>
        <w:t>παρόν</w:t>
      </w:r>
      <w:r>
        <w:rPr>
          <w:spacing w:val="7"/>
          <w:sz w:val="14"/>
        </w:rPr>
        <w:t> </w:t>
      </w:r>
      <w:r>
        <w:rPr>
          <w:w w:val="90"/>
          <w:sz w:val="14"/>
        </w:rPr>
        <w:t>δελτίο</w:t>
      </w:r>
      <w:r>
        <w:rPr>
          <w:spacing w:val="7"/>
          <w:sz w:val="14"/>
        </w:rPr>
        <w:t> </w:t>
      </w:r>
      <w:r>
        <w:rPr>
          <w:w w:val="90"/>
          <w:sz w:val="14"/>
        </w:rPr>
        <w:t>τύπου</w:t>
      </w:r>
      <w:r>
        <w:rPr>
          <w:spacing w:val="5"/>
          <w:sz w:val="14"/>
        </w:rPr>
        <w:t> </w:t>
      </w:r>
      <w:r>
        <w:rPr>
          <w:w w:val="90"/>
          <w:sz w:val="14"/>
        </w:rPr>
        <w:t>έχει</w:t>
      </w:r>
      <w:r>
        <w:rPr>
          <w:spacing w:val="8"/>
          <w:sz w:val="14"/>
        </w:rPr>
        <w:t> </w:t>
      </w:r>
      <w:r>
        <w:rPr>
          <w:w w:val="90"/>
          <w:sz w:val="14"/>
        </w:rPr>
        <w:t>προετοιμαστεί</w:t>
      </w:r>
      <w:r>
        <w:rPr>
          <w:spacing w:val="7"/>
          <w:sz w:val="14"/>
        </w:rPr>
        <w:t> </w:t>
      </w:r>
      <w:r>
        <w:rPr>
          <w:w w:val="90"/>
          <w:sz w:val="14"/>
        </w:rPr>
        <w:t>και</w:t>
      </w:r>
      <w:r>
        <w:rPr>
          <w:spacing w:val="7"/>
          <w:sz w:val="14"/>
        </w:rPr>
        <w:t> </w:t>
      </w:r>
      <w:r>
        <w:rPr>
          <w:w w:val="90"/>
          <w:sz w:val="14"/>
        </w:rPr>
        <w:t>συνταχθεί</w:t>
      </w:r>
      <w:r>
        <w:rPr>
          <w:spacing w:val="7"/>
          <w:sz w:val="14"/>
        </w:rPr>
        <w:t> </w:t>
      </w:r>
      <w:r>
        <w:rPr>
          <w:w w:val="90"/>
          <w:sz w:val="14"/>
        </w:rPr>
        <w:t>από</w:t>
      </w:r>
      <w:r>
        <w:rPr>
          <w:spacing w:val="7"/>
          <w:sz w:val="14"/>
        </w:rPr>
        <w:t> </w:t>
      </w:r>
      <w:r>
        <w:rPr>
          <w:w w:val="90"/>
          <w:sz w:val="14"/>
        </w:rPr>
        <w:t>την</w:t>
      </w:r>
      <w:r>
        <w:rPr>
          <w:spacing w:val="8"/>
          <w:sz w:val="14"/>
        </w:rPr>
        <w:t> </w:t>
      </w:r>
      <w:r>
        <w:rPr>
          <w:w w:val="90"/>
          <w:sz w:val="14"/>
        </w:rPr>
        <w:t>«Αlpha</w:t>
      </w:r>
      <w:r>
        <w:rPr>
          <w:spacing w:val="7"/>
          <w:sz w:val="14"/>
        </w:rPr>
        <w:t> </w:t>
      </w:r>
      <w:r>
        <w:rPr>
          <w:w w:val="90"/>
          <w:sz w:val="14"/>
        </w:rPr>
        <w:t>Τράπεζα</w:t>
      </w:r>
      <w:r>
        <w:rPr>
          <w:spacing w:val="7"/>
          <w:sz w:val="14"/>
        </w:rPr>
        <w:t> </w:t>
      </w:r>
      <w:r>
        <w:rPr>
          <w:w w:val="90"/>
          <w:sz w:val="14"/>
        </w:rPr>
        <w:t>Ανώνυμη</w:t>
      </w:r>
      <w:r>
        <w:rPr>
          <w:spacing w:val="8"/>
          <w:sz w:val="14"/>
        </w:rPr>
        <w:t> </w:t>
      </w:r>
      <w:r>
        <w:rPr>
          <w:w w:val="90"/>
          <w:sz w:val="14"/>
        </w:rPr>
        <w:t>Εταιρεία»</w:t>
      </w:r>
      <w:r>
        <w:rPr>
          <w:spacing w:val="4"/>
          <w:sz w:val="14"/>
        </w:rPr>
        <w:t> </w:t>
      </w:r>
      <w:r>
        <w:rPr>
          <w:w w:val="90"/>
          <w:sz w:val="14"/>
        </w:rPr>
        <w:t>(«Alpha</w:t>
      </w:r>
      <w:r>
        <w:rPr>
          <w:spacing w:val="8"/>
          <w:sz w:val="14"/>
        </w:rPr>
        <w:t> </w:t>
      </w:r>
      <w:r>
        <w:rPr>
          <w:w w:val="90"/>
          <w:sz w:val="14"/>
        </w:rPr>
        <w:t>Bank»)</w:t>
      </w:r>
      <w:r>
        <w:rPr>
          <w:spacing w:val="4"/>
          <w:sz w:val="14"/>
        </w:rPr>
        <w:t> </w:t>
      </w:r>
      <w:r>
        <w:rPr>
          <w:w w:val="90"/>
          <w:sz w:val="14"/>
        </w:rPr>
        <w:t>αποκλειστικά</w:t>
      </w:r>
      <w:r>
        <w:rPr>
          <w:spacing w:val="8"/>
          <w:sz w:val="14"/>
        </w:rPr>
        <w:t> </w:t>
      </w:r>
      <w:r>
        <w:rPr>
          <w:w w:val="90"/>
          <w:sz w:val="14"/>
        </w:rPr>
        <w:t>για</w:t>
      </w:r>
      <w:r>
        <w:rPr>
          <w:spacing w:val="7"/>
          <w:sz w:val="14"/>
        </w:rPr>
        <w:t> </w:t>
      </w:r>
      <w:r>
        <w:rPr>
          <w:spacing w:val="-2"/>
          <w:w w:val="90"/>
          <w:sz w:val="14"/>
        </w:rPr>
        <w:t>ενημερωτικούς</w:t>
      </w:r>
    </w:p>
    <w:p>
      <w:pPr>
        <w:spacing w:line="199" w:lineRule="auto" w:before="9"/>
        <w:ind w:left="566" w:right="749" w:firstLine="0"/>
        <w:jc w:val="left"/>
        <w:rPr>
          <w:sz w:val="14"/>
        </w:rPr>
      </w:pPr>
      <w:r>
        <w:rPr>
          <w:w w:val="90"/>
          <w:sz w:val="14"/>
        </w:rPr>
        <w:t>σκοπούς. Σημειώνεται</w:t>
      </w:r>
      <w:r>
        <w:rPr>
          <w:sz w:val="14"/>
        </w:rPr>
        <w:t> </w:t>
      </w:r>
      <w:r>
        <w:rPr>
          <w:w w:val="90"/>
          <w:sz w:val="14"/>
        </w:rPr>
        <w:t>ότι</w:t>
      </w:r>
      <w:r>
        <w:rPr>
          <w:sz w:val="14"/>
        </w:rPr>
        <w:t> </w:t>
      </w:r>
      <w:r>
        <w:rPr>
          <w:w w:val="90"/>
          <w:sz w:val="14"/>
        </w:rPr>
        <w:t>στις</w:t>
      </w:r>
      <w:r>
        <w:rPr>
          <w:sz w:val="14"/>
        </w:rPr>
        <w:t> </w:t>
      </w:r>
      <w:r>
        <w:rPr>
          <w:w w:val="90"/>
          <w:sz w:val="14"/>
        </w:rPr>
        <w:t>27.6.2025, ολοκληρώθηκε</w:t>
      </w:r>
      <w:r>
        <w:rPr>
          <w:sz w:val="14"/>
        </w:rPr>
        <w:t> </w:t>
      </w:r>
      <w:r>
        <w:rPr>
          <w:w w:val="90"/>
          <w:sz w:val="14"/>
        </w:rPr>
        <w:t>η συγχώνευση</w:t>
      </w:r>
      <w:r>
        <w:rPr>
          <w:sz w:val="14"/>
        </w:rPr>
        <w:t> </w:t>
      </w:r>
      <w:r>
        <w:rPr>
          <w:w w:val="90"/>
          <w:sz w:val="14"/>
        </w:rPr>
        <w:t>με</w:t>
      </w:r>
      <w:r>
        <w:rPr>
          <w:sz w:val="14"/>
        </w:rPr>
        <w:t> </w:t>
      </w:r>
      <w:r>
        <w:rPr>
          <w:w w:val="90"/>
          <w:sz w:val="14"/>
        </w:rPr>
        <w:t>απορρόφηση</w:t>
      </w:r>
      <w:r>
        <w:rPr>
          <w:sz w:val="14"/>
        </w:rPr>
        <w:t> </w:t>
      </w:r>
      <w:r>
        <w:rPr>
          <w:w w:val="90"/>
          <w:sz w:val="14"/>
        </w:rPr>
        <w:t>της</w:t>
      </w:r>
      <w:r>
        <w:rPr>
          <w:sz w:val="14"/>
        </w:rPr>
        <w:t> </w:t>
      </w:r>
      <w:r>
        <w:rPr>
          <w:w w:val="90"/>
          <w:sz w:val="14"/>
        </w:rPr>
        <w:t>«Αlpha Yπηρεσιών</w:t>
      </w:r>
      <w:r>
        <w:rPr>
          <w:sz w:val="14"/>
        </w:rPr>
        <w:t> </w:t>
      </w:r>
      <w:r>
        <w:rPr>
          <w:w w:val="90"/>
          <w:sz w:val="14"/>
        </w:rPr>
        <w:t>και</w:t>
      </w:r>
      <w:r>
        <w:rPr>
          <w:sz w:val="14"/>
        </w:rPr>
        <w:t> </w:t>
      </w:r>
      <w:r>
        <w:rPr>
          <w:w w:val="90"/>
          <w:sz w:val="14"/>
        </w:rPr>
        <w:t>Συμμετοχών</w:t>
      </w:r>
      <w:r>
        <w:rPr>
          <w:sz w:val="14"/>
        </w:rPr>
        <w:t> </w:t>
      </w:r>
      <w:r>
        <w:rPr>
          <w:w w:val="90"/>
          <w:sz w:val="14"/>
        </w:rPr>
        <w:t>Ανώνυμη</w:t>
      </w:r>
      <w:r>
        <w:rPr>
          <w:spacing w:val="25"/>
          <w:sz w:val="14"/>
        </w:rPr>
        <w:t> </w:t>
      </w:r>
      <w:r>
        <w:rPr>
          <w:w w:val="90"/>
          <w:sz w:val="14"/>
        </w:rPr>
        <w:t>Εταιρεία», από</w:t>
      </w:r>
      <w:r>
        <w:rPr>
          <w:spacing w:val="40"/>
          <w:sz w:val="14"/>
        </w:rPr>
        <w:t> </w:t>
      </w:r>
      <w:r>
        <w:rPr>
          <w:sz w:val="14"/>
        </w:rPr>
        <w:t>την Alpha Bank.</w:t>
      </w:r>
    </w:p>
    <w:p>
      <w:pPr>
        <w:spacing w:line="142" w:lineRule="exact" w:before="0"/>
        <w:ind w:left="566" w:right="0" w:firstLine="0"/>
        <w:jc w:val="left"/>
        <w:rPr>
          <w:sz w:val="14"/>
        </w:rPr>
      </w:pPr>
      <w:r>
        <w:rPr>
          <w:w w:val="90"/>
          <w:sz w:val="14"/>
        </w:rPr>
        <w:t>Οι</w:t>
      </w:r>
      <w:r>
        <w:rPr>
          <w:spacing w:val="7"/>
          <w:sz w:val="14"/>
        </w:rPr>
        <w:t> </w:t>
      </w:r>
      <w:r>
        <w:rPr>
          <w:w w:val="90"/>
          <w:sz w:val="14"/>
        </w:rPr>
        <w:t>αναφορές</w:t>
      </w:r>
      <w:r>
        <w:rPr>
          <w:spacing w:val="8"/>
          <w:sz w:val="14"/>
        </w:rPr>
        <w:t> </w:t>
      </w:r>
      <w:r>
        <w:rPr>
          <w:w w:val="90"/>
          <w:sz w:val="14"/>
        </w:rPr>
        <w:t>στην</w:t>
      </w:r>
      <w:r>
        <w:rPr>
          <w:spacing w:val="9"/>
          <w:sz w:val="14"/>
        </w:rPr>
        <w:t> </w:t>
      </w:r>
      <w:r>
        <w:rPr>
          <w:w w:val="90"/>
          <w:sz w:val="14"/>
        </w:rPr>
        <w:t>«Αlpha</w:t>
      </w:r>
      <w:r>
        <w:rPr>
          <w:spacing w:val="4"/>
          <w:sz w:val="14"/>
        </w:rPr>
        <w:t> </w:t>
      </w:r>
      <w:r>
        <w:rPr>
          <w:w w:val="90"/>
          <w:sz w:val="14"/>
        </w:rPr>
        <w:t>Yπηρεσιών</w:t>
      </w:r>
      <w:r>
        <w:rPr>
          <w:spacing w:val="9"/>
          <w:sz w:val="14"/>
        </w:rPr>
        <w:t> </w:t>
      </w:r>
      <w:r>
        <w:rPr>
          <w:w w:val="90"/>
          <w:sz w:val="14"/>
        </w:rPr>
        <w:t>και</w:t>
      </w:r>
      <w:r>
        <w:rPr>
          <w:spacing w:val="7"/>
          <w:sz w:val="14"/>
        </w:rPr>
        <w:t> </w:t>
      </w:r>
      <w:r>
        <w:rPr>
          <w:w w:val="90"/>
          <w:sz w:val="14"/>
        </w:rPr>
        <w:t>Συμμετοχών</w:t>
      </w:r>
      <w:r>
        <w:rPr>
          <w:spacing w:val="9"/>
          <w:sz w:val="14"/>
        </w:rPr>
        <w:t> </w:t>
      </w:r>
      <w:r>
        <w:rPr>
          <w:w w:val="90"/>
          <w:sz w:val="14"/>
        </w:rPr>
        <w:t>Ανώνυμη</w:t>
      </w:r>
      <w:r>
        <w:rPr>
          <w:spacing w:val="7"/>
          <w:sz w:val="14"/>
        </w:rPr>
        <w:t> </w:t>
      </w:r>
      <w:r>
        <w:rPr>
          <w:w w:val="90"/>
          <w:sz w:val="14"/>
        </w:rPr>
        <w:t>Εταιρεία,</w:t>
      </w:r>
      <w:r>
        <w:rPr>
          <w:spacing w:val="8"/>
          <w:sz w:val="14"/>
        </w:rPr>
        <w:t> </w:t>
      </w:r>
      <w:r>
        <w:rPr>
          <w:w w:val="90"/>
          <w:sz w:val="14"/>
        </w:rPr>
        <w:t>εάν</w:t>
      </w:r>
      <w:r>
        <w:rPr>
          <w:spacing w:val="6"/>
          <w:sz w:val="14"/>
        </w:rPr>
        <w:t> </w:t>
      </w:r>
      <w:r>
        <w:rPr>
          <w:w w:val="90"/>
          <w:sz w:val="14"/>
        </w:rPr>
        <w:t>υπάρχουν,»</w:t>
      </w:r>
      <w:r>
        <w:rPr>
          <w:spacing w:val="7"/>
          <w:sz w:val="14"/>
        </w:rPr>
        <w:t> </w:t>
      </w:r>
      <w:r>
        <w:rPr>
          <w:w w:val="90"/>
          <w:sz w:val="14"/>
        </w:rPr>
        <w:t>νοούνται</w:t>
      </w:r>
      <w:r>
        <w:rPr>
          <w:spacing w:val="8"/>
          <w:sz w:val="14"/>
        </w:rPr>
        <w:t> </w:t>
      </w:r>
      <w:r>
        <w:rPr>
          <w:w w:val="90"/>
          <w:sz w:val="14"/>
        </w:rPr>
        <w:t>ως</w:t>
      </w:r>
      <w:r>
        <w:rPr>
          <w:spacing w:val="5"/>
          <w:sz w:val="14"/>
        </w:rPr>
        <w:t> </w:t>
      </w:r>
      <w:r>
        <w:rPr>
          <w:w w:val="90"/>
          <w:sz w:val="14"/>
        </w:rPr>
        <w:t>αναφορές</w:t>
      </w:r>
      <w:r>
        <w:rPr>
          <w:spacing w:val="6"/>
          <w:sz w:val="14"/>
        </w:rPr>
        <w:t> </w:t>
      </w:r>
      <w:r>
        <w:rPr>
          <w:w w:val="90"/>
          <w:sz w:val="14"/>
        </w:rPr>
        <w:t>στην</w:t>
      </w:r>
      <w:r>
        <w:rPr>
          <w:spacing w:val="22"/>
          <w:sz w:val="14"/>
        </w:rPr>
        <w:t> </w:t>
      </w:r>
      <w:r>
        <w:rPr>
          <w:w w:val="90"/>
          <w:sz w:val="14"/>
        </w:rPr>
        <w:t>Alpha</w:t>
      </w:r>
      <w:r>
        <w:rPr>
          <w:spacing w:val="8"/>
          <w:sz w:val="14"/>
        </w:rPr>
        <w:t> </w:t>
      </w:r>
      <w:r>
        <w:rPr>
          <w:spacing w:val="-2"/>
          <w:w w:val="90"/>
          <w:sz w:val="14"/>
        </w:rPr>
        <w:t>Bank.</w:t>
      </w:r>
    </w:p>
    <w:p>
      <w:pPr>
        <w:spacing w:line="199" w:lineRule="auto" w:before="12"/>
        <w:ind w:left="566" w:right="0" w:firstLine="0"/>
        <w:jc w:val="left"/>
        <w:rPr>
          <w:sz w:val="14"/>
        </w:rPr>
      </w:pPr>
      <w:r>
        <w:rPr>
          <w:spacing w:val="-6"/>
          <w:sz w:val="14"/>
        </w:rPr>
        <w:t>Για τους σκοπούς της παρούσας δήλωσης αποποίησης ευθύνης,</w:t>
      </w:r>
      <w:r>
        <w:rPr>
          <w:sz w:val="14"/>
        </w:rPr>
        <w:t> </w:t>
      </w:r>
      <w:r>
        <w:rPr>
          <w:spacing w:val="-6"/>
          <w:sz w:val="14"/>
        </w:rPr>
        <w:t>το παρόν δελτίο τύπου νοείται και περιλαμβάνει κάθε υλικό, συμπεριλαμβανομένων τυχόν </w:t>
      </w:r>
      <w:r>
        <w:rPr>
          <w:spacing w:val="-4"/>
          <w:sz w:val="14"/>
        </w:rPr>
        <w:t>προφορικών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σχολίων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παρουσιάσεων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οποιασδήποτε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συνεδρίας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ερωτήσεων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απαντήσεων.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Συμμετέχοντας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σε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μια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σύσκεψη,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στην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οποία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λαμβάνει</w:t>
      </w:r>
    </w:p>
    <w:p>
      <w:pPr>
        <w:spacing w:line="201" w:lineRule="auto" w:before="0"/>
        <w:ind w:left="566" w:right="582" w:firstLine="0"/>
        <w:jc w:val="left"/>
        <w:rPr>
          <w:sz w:val="14"/>
        </w:rPr>
      </w:pPr>
      <w:r>
        <w:rPr>
          <w:spacing w:val="-6"/>
          <w:sz w:val="14"/>
        </w:rPr>
        <w:t>χώρα το παρόν δελτίο τύπου, ή με οποιονδήποτε τρόπο παρακολουθείτε ή αποκτάτε πρόσβαση στο παρόν δελτίο τύπου, είτε ζωντανά είτε ηχογραφημένα, </w:t>
      </w:r>
      <w:r>
        <w:rPr>
          <w:spacing w:val="-4"/>
          <w:sz w:val="14"/>
        </w:rPr>
        <w:t>θα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θεωρείται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ότι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έχετε συμφωνήσει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με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τους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ακόλουθους περιορισμούς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έχετε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επιβεβαιώσει,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ότι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κατανοείτε τις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νομικές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κανονιστικές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κυρώσεις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που συνδέονται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με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την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κατάχρηση,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αποκάλυψη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ακατάλληλη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κυκλοφορία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του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δελτίου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τύπου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οποιασδήποτε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πληροφορίας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περιέχεται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στο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παρόν.</w:t>
      </w:r>
    </w:p>
    <w:p>
      <w:pPr>
        <w:spacing w:line="139" w:lineRule="exact" w:before="0"/>
        <w:ind w:left="566" w:right="0" w:firstLine="0"/>
        <w:jc w:val="left"/>
        <w:rPr>
          <w:sz w:val="14"/>
        </w:rPr>
      </w:pPr>
      <w:r>
        <w:rPr>
          <w:w w:val="90"/>
          <w:sz w:val="14"/>
        </w:rPr>
        <w:t>Με</w:t>
      </w:r>
      <w:r>
        <w:rPr>
          <w:spacing w:val="1"/>
          <w:sz w:val="14"/>
        </w:rPr>
        <w:t> </w:t>
      </w:r>
      <w:r>
        <w:rPr>
          <w:w w:val="90"/>
          <w:sz w:val="14"/>
        </w:rPr>
        <w:t>την</w:t>
      </w:r>
      <w:r>
        <w:rPr>
          <w:spacing w:val="2"/>
          <w:sz w:val="14"/>
        </w:rPr>
        <w:t> </w:t>
      </w:r>
      <w:r>
        <w:rPr>
          <w:w w:val="90"/>
          <w:sz w:val="14"/>
        </w:rPr>
        <w:t>ανάγνωση</w:t>
      </w:r>
      <w:r>
        <w:rPr>
          <w:spacing w:val="4"/>
          <w:sz w:val="14"/>
        </w:rPr>
        <w:t> </w:t>
      </w:r>
      <w:r>
        <w:rPr>
          <w:w w:val="90"/>
          <w:sz w:val="14"/>
        </w:rPr>
        <w:t>αυτού</w:t>
      </w:r>
      <w:r>
        <w:rPr>
          <w:spacing w:val="3"/>
          <w:sz w:val="14"/>
        </w:rPr>
        <w:t> </w:t>
      </w:r>
      <w:r>
        <w:rPr>
          <w:w w:val="90"/>
          <w:sz w:val="14"/>
        </w:rPr>
        <w:t>του</w:t>
      </w:r>
      <w:r>
        <w:rPr>
          <w:spacing w:val="2"/>
          <w:sz w:val="14"/>
        </w:rPr>
        <w:t> </w:t>
      </w:r>
      <w:r>
        <w:rPr>
          <w:w w:val="90"/>
          <w:sz w:val="14"/>
        </w:rPr>
        <w:t>δελτίου</w:t>
      </w:r>
      <w:r>
        <w:rPr>
          <w:spacing w:val="3"/>
          <w:sz w:val="14"/>
        </w:rPr>
        <w:t> </w:t>
      </w:r>
      <w:r>
        <w:rPr>
          <w:w w:val="90"/>
          <w:sz w:val="14"/>
        </w:rPr>
        <w:t>τύπου,</w:t>
      </w:r>
      <w:r>
        <w:rPr>
          <w:spacing w:val="4"/>
          <w:sz w:val="14"/>
        </w:rPr>
        <w:t> </w:t>
      </w:r>
      <w:r>
        <w:rPr>
          <w:w w:val="90"/>
          <w:sz w:val="14"/>
        </w:rPr>
        <w:t>συμφωνείτε</w:t>
      </w:r>
      <w:r>
        <w:rPr>
          <w:spacing w:val="5"/>
          <w:sz w:val="14"/>
        </w:rPr>
        <w:t> </w:t>
      </w:r>
      <w:r>
        <w:rPr>
          <w:w w:val="90"/>
          <w:sz w:val="14"/>
        </w:rPr>
        <w:t>ότι</w:t>
      </w:r>
      <w:r>
        <w:rPr>
          <w:spacing w:val="2"/>
          <w:sz w:val="14"/>
        </w:rPr>
        <w:t> </w:t>
      </w:r>
      <w:r>
        <w:rPr>
          <w:w w:val="90"/>
          <w:sz w:val="14"/>
        </w:rPr>
        <w:t>δεσμεύεστε</w:t>
      </w:r>
      <w:r>
        <w:rPr>
          <w:spacing w:val="2"/>
          <w:sz w:val="14"/>
        </w:rPr>
        <w:t> </w:t>
      </w:r>
      <w:r>
        <w:rPr>
          <w:w w:val="90"/>
          <w:sz w:val="14"/>
        </w:rPr>
        <w:t>από</w:t>
      </w:r>
      <w:r>
        <w:rPr>
          <w:sz w:val="14"/>
        </w:rPr>
        <w:t> </w:t>
      </w:r>
      <w:r>
        <w:rPr>
          <w:w w:val="90"/>
          <w:sz w:val="14"/>
        </w:rPr>
        <w:t>τους</w:t>
      </w:r>
      <w:r>
        <w:rPr>
          <w:spacing w:val="2"/>
          <w:sz w:val="14"/>
        </w:rPr>
        <w:t> </w:t>
      </w:r>
      <w:r>
        <w:rPr>
          <w:w w:val="90"/>
          <w:sz w:val="14"/>
        </w:rPr>
        <w:t>ακόλουθους</w:t>
      </w:r>
      <w:r>
        <w:rPr>
          <w:spacing w:val="1"/>
          <w:sz w:val="14"/>
        </w:rPr>
        <w:t> </w:t>
      </w:r>
      <w:r>
        <w:rPr>
          <w:spacing w:val="-2"/>
          <w:w w:val="90"/>
          <w:sz w:val="14"/>
        </w:rPr>
        <w:t>περιορισμούς:</w:t>
      </w:r>
    </w:p>
    <w:p>
      <w:pPr>
        <w:spacing w:line="201" w:lineRule="auto" w:before="10"/>
        <w:ind w:left="566" w:right="446" w:firstLine="0"/>
        <w:jc w:val="left"/>
        <w:rPr>
          <w:sz w:val="14"/>
        </w:rPr>
      </w:pPr>
      <w:r>
        <w:rPr>
          <w:spacing w:val="-4"/>
          <w:sz w:val="14"/>
        </w:rPr>
        <w:t>Καμία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εγγυοδοτική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δήλωση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εγγύηση,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ρητή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σιωπηρή,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δίνεται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θα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δοθεί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καμία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ευθύνη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δεν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αναλαμβάνεται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δεν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θα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αναληφθεί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από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την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Alpha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Bank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ή οποιοδήποτε μέλος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του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Ομίλου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της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ως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προς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την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ακρίβεια,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πληρότητα,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αξιοπιστία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επάρκεια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των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πληροφοριών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που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περιέχονται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σε</w:t>
      </w:r>
      <w:r>
        <w:rPr>
          <w:spacing w:val="6"/>
          <w:sz w:val="14"/>
        </w:rPr>
        <w:t> </w:t>
      </w:r>
      <w:r>
        <w:rPr>
          <w:spacing w:val="-4"/>
          <w:sz w:val="14"/>
        </w:rPr>
        <w:t>αυτό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το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δελτίο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τύπου</w:t>
      </w:r>
      <w:r>
        <w:rPr>
          <w:spacing w:val="-4"/>
          <w:sz w:val="14"/>
        </w:rPr>
        <w:t> </w:t>
      </w:r>
      <w:r>
        <w:rPr>
          <w:spacing w:val="-6"/>
          <w:sz w:val="14"/>
        </w:rPr>
        <w:t>και τίποτα σε αυτό το δελτίο τύπου δεν θεωρείται ότι συνιστά τέτοια δήλωση ή εγγύηση. Οι πληροφορίες που περιέχονται</w:t>
      </w:r>
      <w:r>
        <w:rPr>
          <w:sz w:val="14"/>
        </w:rPr>
        <w:t> </w:t>
      </w:r>
      <w:r>
        <w:rPr>
          <w:spacing w:val="-6"/>
          <w:sz w:val="14"/>
        </w:rPr>
        <w:t>σε αυτό το δελτίο τύπου ενδέχεται </w:t>
      </w:r>
      <w:r>
        <w:rPr>
          <w:spacing w:val="-4"/>
          <w:sz w:val="14"/>
        </w:rPr>
        <w:t>να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περιέχουν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/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βασίζονται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σε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πληροφορίες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που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προέρχονται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από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διαθέσιμες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στο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κοινό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πηγές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που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δεν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έχουν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επαληθευτεί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ανεξάρτητα.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Η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Alpha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Bank δεν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υποχρεούται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ενημερώσει,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αναθεωρήσει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συμπληρώσει αυτό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το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δελτίο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τύπου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οποιεσδήποτε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πρόσθετες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πληροφορίες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διορθώσει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τυχόν </w:t>
      </w:r>
      <w:r>
        <w:rPr>
          <w:spacing w:val="-2"/>
          <w:sz w:val="14"/>
        </w:rPr>
        <w:t>ανακρίβειες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ή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παραλείψεις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αυτού</w:t>
      </w:r>
      <w:r>
        <w:rPr>
          <w:spacing w:val="-10"/>
          <w:sz w:val="14"/>
        </w:rPr>
        <w:t> </w:t>
      </w:r>
      <w:r>
        <w:rPr>
          <w:spacing w:val="-2"/>
          <w:sz w:val="14"/>
        </w:rPr>
        <w:t>του</w:t>
      </w:r>
      <w:r>
        <w:rPr>
          <w:spacing w:val="-10"/>
          <w:sz w:val="14"/>
        </w:rPr>
        <w:t> </w:t>
      </w:r>
      <w:r>
        <w:rPr>
          <w:spacing w:val="-2"/>
          <w:sz w:val="14"/>
        </w:rPr>
        <w:t>δελτίου</w:t>
      </w:r>
      <w:r>
        <w:rPr>
          <w:spacing w:val="-10"/>
          <w:sz w:val="14"/>
        </w:rPr>
        <w:t> </w:t>
      </w:r>
      <w:r>
        <w:rPr>
          <w:spacing w:val="-2"/>
          <w:sz w:val="14"/>
        </w:rPr>
        <w:t>τύπου.</w:t>
      </w:r>
    </w:p>
    <w:p>
      <w:pPr>
        <w:spacing w:line="199" w:lineRule="auto" w:before="4"/>
        <w:ind w:left="566" w:right="582" w:firstLine="0"/>
        <w:jc w:val="left"/>
        <w:rPr>
          <w:sz w:val="14"/>
        </w:rPr>
      </w:pPr>
      <w:r>
        <w:rPr>
          <w:spacing w:val="-6"/>
          <w:sz w:val="14"/>
        </w:rPr>
        <w:t>Αυτό το δελτίο τύπου δεν αποτελεί προσφορά, πρόσκληση ή σύσταση για εγγραφή ή απόκτηση κινητών αξιών. Επίσης, δεν προορίζεται να χρησιμοποιηθεί </w:t>
      </w:r>
      <w:r>
        <w:rPr>
          <w:spacing w:val="-4"/>
          <w:sz w:val="14"/>
        </w:rPr>
        <w:t>ως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συμβουλή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σε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επενδυτές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δυνητικούς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επενδυτές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δεν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λαμβάνει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υπόψη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τους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στόχους,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την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οικονομική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κατάσταση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τις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ανάγκες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οποιουδήποτε</w:t>
      </w:r>
    </w:p>
    <w:p>
      <w:pPr>
        <w:spacing w:line="135" w:lineRule="exact" w:before="0"/>
        <w:ind w:left="566" w:right="0" w:firstLine="0"/>
        <w:jc w:val="left"/>
        <w:rPr>
          <w:sz w:val="14"/>
        </w:rPr>
      </w:pPr>
      <w:r>
        <w:rPr>
          <w:w w:val="90"/>
          <w:sz w:val="14"/>
        </w:rPr>
        <w:t>συγκεκριμένου</w:t>
      </w:r>
      <w:r>
        <w:rPr>
          <w:spacing w:val="3"/>
          <w:sz w:val="14"/>
        </w:rPr>
        <w:t> </w:t>
      </w:r>
      <w:r>
        <w:rPr>
          <w:w w:val="90"/>
          <w:sz w:val="14"/>
        </w:rPr>
        <w:t>επενδυτή.</w:t>
      </w:r>
      <w:r>
        <w:rPr>
          <w:spacing w:val="4"/>
          <w:sz w:val="14"/>
        </w:rPr>
        <w:t> </w:t>
      </w:r>
      <w:r>
        <w:rPr>
          <w:w w:val="90"/>
          <w:sz w:val="14"/>
        </w:rPr>
        <w:t>Είστε</w:t>
      </w:r>
      <w:r>
        <w:rPr>
          <w:spacing w:val="5"/>
          <w:sz w:val="14"/>
        </w:rPr>
        <w:t> </w:t>
      </w:r>
      <w:r>
        <w:rPr>
          <w:w w:val="90"/>
          <w:sz w:val="14"/>
        </w:rPr>
        <w:t>αποκλειστικά</w:t>
      </w:r>
      <w:r>
        <w:rPr>
          <w:spacing w:val="6"/>
          <w:sz w:val="14"/>
        </w:rPr>
        <w:t> </w:t>
      </w:r>
      <w:r>
        <w:rPr>
          <w:w w:val="90"/>
          <w:sz w:val="14"/>
        </w:rPr>
        <w:t>υπεύθυνοι</w:t>
      </w:r>
      <w:r>
        <w:rPr>
          <w:spacing w:val="6"/>
          <w:sz w:val="14"/>
        </w:rPr>
        <w:t> </w:t>
      </w:r>
      <w:r>
        <w:rPr>
          <w:w w:val="90"/>
          <w:sz w:val="14"/>
        </w:rPr>
        <w:t>για</w:t>
      </w:r>
      <w:r>
        <w:rPr>
          <w:spacing w:val="8"/>
          <w:sz w:val="14"/>
        </w:rPr>
        <w:t> </w:t>
      </w:r>
      <w:r>
        <w:rPr>
          <w:w w:val="90"/>
          <w:sz w:val="14"/>
        </w:rPr>
        <w:t>τη</w:t>
      </w:r>
      <w:r>
        <w:rPr>
          <w:spacing w:val="6"/>
          <w:sz w:val="14"/>
        </w:rPr>
        <w:t> </w:t>
      </w:r>
      <w:r>
        <w:rPr>
          <w:w w:val="90"/>
          <w:sz w:val="14"/>
        </w:rPr>
        <w:t>διαμόρφωση</w:t>
      </w:r>
      <w:r>
        <w:rPr>
          <w:spacing w:val="4"/>
          <w:sz w:val="14"/>
        </w:rPr>
        <w:t> </w:t>
      </w:r>
      <w:r>
        <w:rPr>
          <w:w w:val="90"/>
          <w:sz w:val="14"/>
        </w:rPr>
        <w:t>της</w:t>
      </w:r>
      <w:r>
        <w:rPr>
          <w:spacing w:val="8"/>
          <w:sz w:val="14"/>
        </w:rPr>
        <w:t> </w:t>
      </w:r>
      <w:r>
        <w:rPr>
          <w:w w:val="90"/>
          <w:sz w:val="14"/>
        </w:rPr>
        <w:t>δικής</w:t>
      </w:r>
      <w:r>
        <w:rPr>
          <w:spacing w:val="8"/>
          <w:sz w:val="14"/>
        </w:rPr>
        <w:t> </w:t>
      </w:r>
      <w:r>
        <w:rPr>
          <w:w w:val="90"/>
          <w:sz w:val="14"/>
        </w:rPr>
        <w:t>σας</w:t>
      </w:r>
      <w:r>
        <w:rPr>
          <w:spacing w:val="5"/>
          <w:sz w:val="14"/>
        </w:rPr>
        <w:t> </w:t>
      </w:r>
      <w:r>
        <w:rPr>
          <w:w w:val="90"/>
          <w:sz w:val="14"/>
        </w:rPr>
        <w:t>γνώμης</w:t>
      </w:r>
      <w:r>
        <w:rPr>
          <w:spacing w:val="4"/>
          <w:sz w:val="14"/>
        </w:rPr>
        <w:t> </w:t>
      </w:r>
      <w:r>
        <w:rPr>
          <w:w w:val="90"/>
          <w:sz w:val="14"/>
        </w:rPr>
        <w:t>και</w:t>
      </w:r>
      <w:r>
        <w:rPr>
          <w:spacing w:val="7"/>
          <w:sz w:val="14"/>
        </w:rPr>
        <w:t> </w:t>
      </w:r>
      <w:r>
        <w:rPr>
          <w:spacing w:val="-2"/>
          <w:w w:val="90"/>
          <w:sz w:val="14"/>
        </w:rPr>
        <w:t>συμπεράσματος.</w:t>
      </w:r>
    </w:p>
    <w:p>
      <w:pPr>
        <w:spacing w:line="201" w:lineRule="auto" w:before="11"/>
        <w:ind w:left="566" w:right="446" w:firstLine="0"/>
        <w:jc w:val="left"/>
        <w:rPr>
          <w:sz w:val="14"/>
        </w:rPr>
      </w:pPr>
      <w:r>
        <w:rPr>
          <w:spacing w:val="-4"/>
          <w:sz w:val="14"/>
        </w:rPr>
        <w:t>Ορισμένες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δηλώσεις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σε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αυτό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το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δελτίο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τύπου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μπορεί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θεωρηθούν,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ότι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αναφέρονται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σε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μελλοντικά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γεγονότα.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Δεν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πρέπει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βασίζεστε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υπέρ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του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δέοντος σε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τέτοιες δηλώσεις.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Από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τη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φύση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τους, τέτοιου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είδους δηλώσεις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περιλαμβάνουν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κίνδυνο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αβεβαιότητα,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επειδή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αντικατοπτρίζουν</w:t>
      </w:r>
      <w:r>
        <w:rPr>
          <w:sz w:val="14"/>
        </w:rPr>
        <w:t> </w:t>
      </w:r>
      <w:r>
        <w:rPr>
          <w:spacing w:val="-4"/>
          <w:sz w:val="14"/>
        </w:rPr>
        <w:t>τις τρέχουσες προσδοκίες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παραδοχές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σχετικά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με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μελλοντικά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γεγονότα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περιστάσεις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που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ενδέχεται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μην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αποδειχθούν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ακριβείς.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Οι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δηλώσεις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αυτές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δεν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αποτελούν εγγύηση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για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μελλοντικές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επιδόσεις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πραγματικά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αποτελέσματα,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επιδόσεις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επιτεύγματα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της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Alpha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Bank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οι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δραστηριότητες,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τα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αποτελέσματα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των λειτουργιών,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η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οικονομική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θέση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της και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η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ανάπτυξη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των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αγορών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του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κλάδου,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στον οποίο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δραστηριοποιείται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είναι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πιθανό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λειτουργεί μπορεί να διαφέρουν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ουσιωδώς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από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εκείνες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που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περιγράφονται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προτείνονται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από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τις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δηλώσεις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που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περιέχονται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σε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αυτό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το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δελτίο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τύπου.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Επιπλέον,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ακόμη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αν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οι δραστηριότητες,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τα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αποτελέσματα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των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λειτουργιών,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η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οικονομική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θέση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η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ανάπτυξη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των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αγορών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του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κλάδου,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στον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οποίο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δραστηριοποιείται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η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Alpha Bank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είναι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συνεπείς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με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τις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δηλώσεις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που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περιέχονται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σε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αυτό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το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έγγραφο,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αυτά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τα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αποτελέσματα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οι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εξελίξεις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ενδέχεται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μην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είναι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ενδεικτικά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των</w:t>
      </w:r>
    </w:p>
    <w:p>
      <w:pPr>
        <w:spacing w:line="204" w:lineRule="auto" w:before="0"/>
        <w:ind w:left="566" w:right="582" w:firstLine="0"/>
        <w:jc w:val="left"/>
        <w:rPr>
          <w:sz w:val="14"/>
        </w:rPr>
      </w:pPr>
      <w:r>
        <w:rPr>
          <w:spacing w:val="-6"/>
          <w:sz w:val="14"/>
        </w:rPr>
        <w:t>αποτελεσμάτων ή εξελίξεων σε επόμενες περιόδους. Ορισμένοι παράγοντες θα μπορούσαν να προκαλέσουν αποτελέσματα και εξελίξεις</w:t>
      </w:r>
      <w:r>
        <w:rPr>
          <w:sz w:val="14"/>
        </w:rPr>
        <w:t> </w:t>
      </w:r>
      <w:r>
        <w:rPr>
          <w:spacing w:val="-6"/>
          <w:sz w:val="14"/>
        </w:rPr>
        <w:t>που θα διαφέρουν </w:t>
      </w:r>
      <w:r>
        <w:rPr>
          <w:spacing w:val="-4"/>
          <w:sz w:val="14"/>
        </w:rPr>
        <w:t>ουσιωδώς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από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εκείνα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που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εκφράζονται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υπονοούνται από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τις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δηλώσεις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αυτές,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συμπεριλαμβανομένων,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ενδεικτικά,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των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γενικών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οικονομικών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και</w:t>
      </w:r>
    </w:p>
    <w:p>
      <w:pPr>
        <w:spacing w:line="134" w:lineRule="exact" w:before="0"/>
        <w:ind w:left="566" w:right="0" w:firstLine="0"/>
        <w:jc w:val="left"/>
        <w:rPr>
          <w:sz w:val="14"/>
        </w:rPr>
      </w:pPr>
      <w:r>
        <w:rPr>
          <w:w w:val="90"/>
          <w:sz w:val="14"/>
        </w:rPr>
        <w:t>επιχειρηματικών</w:t>
      </w:r>
      <w:r>
        <w:rPr>
          <w:spacing w:val="9"/>
          <w:sz w:val="14"/>
        </w:rPr>
        <w:t> </w:t>
      </w:r>
      <w:r>
        <w:rPr>
          <w:w w:val="90"/>
          <w:sz w:val="14"/>
        </w:rPr>
        <w:t>συνθηκών,</w:t>
      </w:r>
      <w:r>
        <w:rPr>
          <w:spacing w:val="4"/>
          <w:sz w:val="14"/>
        </w:rPr>
        <w:t> </w:t>
      </w:r>
      <w:r>
        <w:rPr>
          <w:w w:val="90"/>
          <w:sz w:val="14"/>
        </w:rPr>
        <w:t>του</w:t>
      </w:r>
      <w:r>
        <w:rPr>
          <w:spacing w:val="5"/>
          <w:sz w:val="14"/>
        </w:rPr>
        <w:t> </w:t>
      </w:r>
      <w:r>
        <w:rPr>
          <w:w w:val="90"/>
          <w:sz w:val="14"/>
        </w:rPr>
        <w:t>ανταγωνισμού,</w:t>
      </w:r>
      <w:r>
        <w:rPr>
          <w:spacing w:val="5"/>
          <w:sz w:val="14"/>
        </w:rPr>
        <w:t> </w:t>
      </w:r>
      <w:r>
        <w:rPr>
          <w:w w:val="90"/>
          <w:sz w:val="14"/>
        </w:rPr>
        <w:t>των</w:t>
      </w:r>
      <w:r>
        <w:rPr>
          <w:spacing w:val="6"/>
          <w:sz w:val="14"/>
        </w:rPr>
        <w:t> </w:t>
      </w:r>
      <w:r>
        <w:rPr>
          <w:w w:val="90"/>
          <w:sz w:val="14"/>
        </w:rPr>
        <w:t>αλλαγών</w:t>
      </w:r>
      <w:r>
        <w:rPr>
          <w:spacing w:val="6"/>
          <w:sz w:val="14"/>
        </w:rPr>
        <w:t> </w:t>
      </w:r>
      <w:r>
        <w:rPr>
          <w:w w:val="90"/>
          <w:sz w:val="14"/>
        </w:rPr>
        <w:t>στην</w:t>
      </w:r>
      <w:r>
        <w:rPr>
          <w:spacing w:val="9"/>
          <w:sz w:val="14"/>
        </w:rPr>
        <w:t> </w:t>
      </w:r>
      <w:r>
        <w:rPr>
          <w:w w:val="90"/>
          <w:sz w:val="14"/>
        </w:rPr>
        <w:t>τραπεζική</w:t>
      </w:r>
      <w:r>
        <w:rPr>
          <w:spacing w:val="5"/>
          <w:sz w:val="14"/>
        </w:rPr>
        <w:t> </w:t>
      </w:r>
      <w:r>
        <w:rPr>
          <w:w w:val="90"/>
          <w:sz w:val="14"/>
        </w:rPr>
        <w:t>νομοθεσία</w:t>
      </w:r>
      <w:r>
        <w:rPr>
          <w:spacing w:val="7"/>
          <w:sz w:val="14"/>
        </w:rPr>
        <w:t> </w:t>
      </w:r>
      <w:r>
        <w:rPr>
          <w:w w:val="90"/>
          <w:sz w:val="14"/>
        </w:rPr>
        <w:t>και</w:t>
      </w:r>
      <w:r>
        <w:rPr>
          <w:spacing w:val="8"/>
          <w:sz w:val="14"/>
        </w:rPr>
        <w:t> </w:t>
      </w:r>
      <w:r>
        <w:rPr>
          <w:w w:val="90"/>
          <w:sz w:val="14"/>
        </w:rPr>
        <w:t>των</w:t>
      </w:r>
      <w:r>
        <w:rPr>
          <w:spacing w:val="9"/>
          <w:sz w:val="14"/>
        </w:rPr>
        <w:t> </w:t>
      </w:r>
      <w:r>
        <w:rPr>
          <w:w w:val="90"/>
          <w:sz w:val="14"/>
        </w:rPr>
        <w:t>νομισματικών</w:t>
      </w:r>
      <w:r>
        <w:rPr>
          <w:spacing w:val="9"/>
          <w:sz w:val="14"/>
        </w:rPr>
        <w:t> </w:t>
      </w:r>
      <w:r>
        <w:rPr>
          <w:spacing w:val="-2"/>
          <w:w w:val="90"/>
          <w:sz w:val="14"/>
        </w:rPr>
        <w:t>διακυμάνσεων.</w:t>
      </w:r>
    </w:p>
    <w:p>
      <w:pPr>
        <w:spacing w:line="199" w:lineRule="auto" w:before="4"/>
        <w:ind w:left="566" w:right="749" w:firstLine="0"/>
        <w:jc w:val="left"/>
        <w:rPr>
          <w:sz w:val="14"/>
        </w:rPr>
      </w:pPr>
      <w:r>
        <w:rPr>
          <w:spacing w:val="-6"/>
          <w:sz w:val="14"/>
        </w:rPr>
        <w:t>Οι προαναφερθείσες δηλώσεις ενδέχεται, και συχνά όντως, διαφέρουν ουσιαστικά από τα πραγματικά αποτελέσματα. Τυχόν τέτοιες δηλώσεις σε αυτό το </w:t>
      </w:r>
      <w:r>
        <w:rPr>
          <w:spacing w:val="-4"/>
          <w:sz w:val="14"/>
        </w:rPr>
        <w:t>έγγραφο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αντικατοπτρίζουν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την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τρέχουσα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άποψη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της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Alpha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Bank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σχετικά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με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μελλοντικά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γεγονότα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υπόκεινται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σε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κινδύνους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που</w:t>
      </w:r>
      <w:r>
        <w:rPr>
          <w:spacing w:val="-12"/>
          <w:sz w:val="14"/>
        </w:rPr>
        <w:t> </w:t>
      </w:r>
      <w:r>
        <w:rPr>
          <w:spacing w:val="-4"/>
          <w:sz w:val="14"/>
        </w:rPr>
        <w:t>σχετίζονται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με</w:t>
      </w:r>
    </w:p>
    <w:p>
      <w:pPr>
        <w:spacing w:line="199" w:lineRule="auto" w:before="4"/>
        <w:ind w:left="566" w:right="582" w:firstLine="0"/>
        <w:jc w:val="left"/>
        <w:rPr>
          <w:sz w:val="14"/>
        </w:rPr>
      </w:pPr>
      <w:r>
        <w:rPr>
          <w:spacing w:val="-6"/>
          <w:sz w:val="14"/>
        </w:rPr>
        <w:t>μελλοντικά γεγονότα και άλλους κινδύνους, αβεβαιότητες και παραδοχές που σχετίζονται με την Alpha Bank και την οικονομική θέση, τις λειτουργίες, τα </w:t>
      </w:r>
      <w:r>
        <w:rPr>
          <w:spacing w:val="-4"/>
          <w:sz w:val="14"/>
        </w:rPr>
        <w:t>αποτελέσματα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των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λειτουργιών,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την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ανάπτυξη,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τη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στρατηγική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τις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προσδοκίες.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Οποιαδήποτε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τέτοια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δήλωση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αφορά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μόνο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στην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ημερομηνία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κατά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την οποία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γίνεται.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Νέοι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παράγοντες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θα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εμφανιστούν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στο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μέλλον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και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δεν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είναι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δυνατό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για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την Alpha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Bank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προβλέψει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ποιοι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παράγοντες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θα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είναι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αυτοί.</w:t>
      </w:r>
    </w:p>
    <w:p>
      <w:pPr>
        <w:spacing w:line="199" w:lineRule="auto" w:before="3"/>
        <w:ind w:left="566" w:right="749" w:firstLine="0"/>
        <w:jc w:val="left"/>
        <w:rPr>
          <w:sz w:val="14"/>
        </w:rPr>
      </w:pPr>
      <w:r>
        <w:rPr>
          <w:spacing w:val="-4"/>
          <w:sz w:val="14"/>
        </w:rPr>
        <w:t>Επιπλέον,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η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Alpha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Bank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δεν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μπορεί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να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εκτιμήσει την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επίδραση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κάθε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παράγοντα στις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επιχειρηματικές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της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δραστηριότητες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ή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την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έκταση</w:t>
      </w:r>
      <w:r>
        <w:rPr>
          <w:spacing w:val="-6"/>
          <w:sz w:val="14"/>
        </w:rPr>
        <w:t> </w:t>
      </w:r>
      <w:r>
        <w:rPr>
          <w:spacing w:val="-4"/>
          <w:sz w:val="14"/>
        </w:rPr>
        <w:t>την</w:t>
      </w:r>
      <w:r>
        <w:rPr>
          <w:spacing w:val="-5"/>
          <w:sz w:val="14"/>
        </w:rPr>
        <w:t> </w:t>
      </w:r>
      <w:r>
        <w:rPr>
          <w:spacing w:val="-4"/>
          <w:sz w:val="14"/>
        </w:rPr>
        <w:t>οποία </w:t>
      </w:r>
      <w:r>
        <w:rPr>
          <w:spacing w:val="-6"/>
          <w:sz w:val="14"/>
        </w:rPr>
        <w:t>οποιοσδήποτε παράγοντας, ή συνδυασμός παραγόντων, μπορεί να προκαλέσει τα πραγματικά αποτελέσματα να διαφέρουν ουσιωδώς από αυτά που</w:t>
      </w:r>
    </w:p>
    <w:p>
      <w:pPr>
        <w:spacing w:line="199" w:lineRule="auto" w:before="1"/>
        <w:ind w:left="566" w:right="446" w:firstLine="0"/>
        <w:jc w:val="left"/>
        <w:rPr>
          <w:sz w:val="14"/>
        </w:rPr>
      </w:pPr>
      <w:r>
        <w:rPr>
          <w:spacing w:val="-4"/>
          <w:sz w:val="14"/>
        </w:rPr>
        <w:t>περιγράφονται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στις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σχετικές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δηλώσεις.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Η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Alpha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Bank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αποποιείται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οποιαδήποτε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υποχρέωση</w:t>
      </w:r>
      <w:r>
        <w:rPr>
          <w:spacing w:val="-11"/>
          <w:sz w:val="14"/>
        </w:rPr>
        <w:t> </w:t>
      </w:r>
      <w:r>
        <w:rPr>
          <w:spacing w:val="-4"/>
          <w:sz w:val="14"/>
        </w:rPr>
        <w:t>ενημέρωσης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οποιωνδήποτε</w:t>
      </w:r>
      <w:r>
        <w:rPr>
          <w:spacing w:val="-7"/>
          <w:sz w:val="14"/>
        </w:rPr>
        <w:t> </w:t>
      </w:r>
      <w:r>
        <w:rPr>
          <w:spacing w:val="-4"/>
          <w:sz w:val="14"/>
        </w:rPr>
        <w:t>τέτοιων</w:t>
      </w:r>
      <w:r>
        <w:rPr>
          <w:spacing w:val="-8"/>
          <w:sz w:val="14"/>
        </w:rPr>
        <w:t> </w:t>
      </w:r>
      <w:r>
        <w:rPr>
          <w:spacing w:val="-4"/>
          <w:sz w:val="14"/>
        </w:rPr>
        <w:t>δηλώσεων</w:t>
      </w:r>
      <w:r>
        <w:rPr>
          <w:spacing w:val="-10"/>
          <w:sz w:val="14"/>
        </w:rPr>
        <w:t> </w:t>
      </w:r>
      <w:r>
        <w:rPr>
          <w:spacing w:val="-4"/>
          <w:sz w:val="14"/>
        </w:rPr>
        <w:t>που</w:t>
      </w:r>
      <w:r>
        <w:rPr>
          <w:spacing w:val="-9"/>
          <w:sz w:val="14"/>
        </w:rPr>
        <w:t> </w:t>
      </w:r>
      <w:r>
        <w:rPr>
          <w:spacing w:val="-4"/>
          <w:sz w:val="14"/>
        </w:rPr>
        <w:t>περιέχονται </w:t>
      </w:r>
      <w:r>
        <w:rPr>
          <w:spacing w:val="-2"/>
          <w:sz w:val="14"/>
        </w:rPr>
        <w:t>στο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παρόν,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εκτός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εάν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άλλως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απαιτείται</w:t>
      </w:r>
      <w:r>
        <w:rPr>
          <w:spacing w:val="-10"/>
          <w:sz w:val="14"/>
        </w:rPr>
        <w:t> </w:t>
      </w:r>
      <w:r>
        <w:rPr>
          <w:spacing w:val="-2"/>
          <w:sz w:val="14"/>
        </w:rPr>
        <w:t>από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την</w:t>
      </w:r>
      <w:r>
        <w:rPr>
          <w:spacing w:val="-11"/>
          <w:sz w:val="14"/>
        </w:rPr>
        <w:t> </w:t>
      </w:r>
      <w:r>
        <w:rPr>
          <w:spacing w:val="-2"/>
          <w:sz w:val="14"/>
        </w:rPr>
        <w:t>ισχύουσα</w:t>
      </w:r>
      <w:r>
        <w:rPr>
          <w:spacing w:val="-10"/>
          <w:sz w:val="14"/>
        </w:rPr>
        <w:t> </w:t>
      </w:r>
      <w:r>
        <w:rPr>
          <w:spacing w:val="-2"/>
          <w:sz w:val="14"/>
        </w:rPr>
        <w:t>νομοθεσία.</w:t>
      </w:r>
    </w:p>
    <w:sectPr>
      <w:type w:val="continuous"/>
      <w:pgSz w:w="11920" w:h="16850"/>
      <w:pgMar w:header="639" w:footer="648" w:top="194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02944">
              <wp:simplePos x="0" y="0"/>
              <wp:positionH relativeFrom="page">
                <wp:posOffset>3669157</wp:posOffset>
              </wp:positionH>
              <wp:positionV relativeFrom="page">
                <wp:posOffset>10395839</wp:posOffset>
              </wp:positionV>
              <wp:extent cx="147320" cy="13970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3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AFE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AFEF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color w:val="00AFE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00AFEF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color w:val="00AFE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910004pt;margin-top:818.570007pt;width:11.6pt;height:11pt;mso-position-horizontal-relative:page;mso-position-vertical-relative:page;z-index:-18113536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line="203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AFEF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00AFEF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color w:val="00AFEF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00AFEF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color w:val="00AFEF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04480">
              <wp:simplePos x="0" y="0"/>
              <wp:positionH relativeFrom="page">
                <wp:posOffset>3665601</wp:posOffset>
              </wp:positionH>
              <wp:positionV relativeFrom="page">
                <wp:posOffset>10142854</wp:posOffset>
              </wp:positionV>
              <wp:extent cx="193040" cy="13970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1930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630005pt;margin-top:798.649963pt;width:15.2pt;height:11pt;mso-position-horizontal-relative:page;mso-position-vertical-relative:page;z-index:-18112000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AFEF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instrText> PAGE </w:instrText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06016">
              <wp:simplePos x="0" y="0"/>
              <wp:positionH relativeFrom="page">
                <wp:posOffset>3585083</wp:posOffset>
              </wp:positionH>
              <wp:positionV relativeFrom="page">
                <wp:posOffset>10142854</wp:posOffset>
              </wp:positionV>
              <wp:extent cx="205104" cy="139700"/>
              <wp:effectExtent l="0" t="0" r="0" b="0"/>
              <wp:wrapNone/>
              <wp:docPr id="243" name="Textbox 2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3" name="Textbox 243"/>
                    <wps:cNvSpPr txBox="1"/>
                    <wps:spPr>
                      <a:xfrm>
                        <a:off x="0" y="0"/>
                        <a:ext cx="20510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3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2.290009pt;margin-top:798.649963pt;width:16.1500pt;height:11pt;mso-position-horizontal-relative:page;mso-position-vertical-relative:page;z-index:-18110464" type="#_x0000_t202" id="docshape223" filled="false" stroked="false">
              <v:textbox inset="0,0,0,0">
                <w:txbxContent>
                  <w:p>
                    <w:pPr>
                      <w:pStyle w:val="BodyText"/>
                      <w:spacing w:line="203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AFEF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instrText> PAGE </w:instrText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07552">
              <wp:simplePos x="0" y="0"/>
              <wp:positionH relativeFrom="page">
                <wp:posOffset>3640201</wp:posOffset>
              </wp:positionH>
              <wp:positionV relativeFrom="page">
                <wp:posOffset>10142854</wp:posOffset>
              </wp:positionV>
              <wp:extent cx="205104" cy="139700"/>
              <wp:effectExtent l="0" t="0" r="0" b="0"/>
              <wp:wrapNone/>
              <wp:docPr id="246" name="Textbox 2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6" name="Textbox 246"/>
                    <wps:cNvSpPr txBox="1"/>
                    <wps:spPr>
                      <a:xfrm>
                        <a:off x="0" y="0"/>
                        <a:ext cx="20510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03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color w:val="00AFE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630005pt;margin-top:798.649963pt;width:16.1500pt;height:11pt;mso-position-horizontal-relative:page;mso-position-vertical-relative:page;z-index:-18108928" type="#_x0000_t202" id="docshape225" filled="false" stroked="false">
              <v:textbox inset="0,0,0,0">
                <w:txbxContent>
                  <w:p>
                    <w:pPr>
                      <w:pStyle w:val="BodyText"/>
                      <w:spacing w:line="203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AFEF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instrText> PAGE </w:instrText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color w:val="00AFEF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201920">
          <wp:simplePos x="0" y="0"/>
          <wp:positionH relativeFrom="page">
            <wp:posOffset>394761</wp:posOffset>
          </wp:positionH>
          <wp:positionV relativeFrom="page">
            <wp:posOffset>405549</wp:posOffset>
          </wp:positionV>
          <wp:extent cx="1344076" cy="288859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076" cy="288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02432">
              <wp:simplePos x="0" y="0"/>
              <wp:positionH relativeFrom="page">
                <wp:posOffset>5502402</wp:posOffset>
              </wp:positionH>
              <wp:positionV relativeFrom="page">
                <wp:posOffset>431998</wp:posOffset>
              </wp:positionV>
              <wp:extent cx="1704339" cy="1600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704339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17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Αποτελέσματα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Β’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Τριμήνου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8"/>
                              <w:sz w:val="17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3.26001pt;margin-top:34.015663pt;width:134.2pt;height:12.6pt;mso-position-horizontal-relative:page;mso-position-vertical-relative:page;z-index:-18114048" type="#_x0000_t202" id="docshape7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17"/>
                      </w:rPr>
                    </w:pP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Αποτελέσματα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Β’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2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Τριμήνου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8"/>
                        <w:sz w:val="17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203456">
          <wp:simplePos x="0" y="0"/>
          <wp:positionH relativeFrom="page">
            <wp:posOffset>394761</wp:posOffset>
          </wp:positionH>
          <wp:positionV relativeFrom="page">
            <wp:posOffset>405549</wp:posOffset>
          </wp:positionV>
          <wp:extent cx="1344076" cy="288859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076" cy="288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03968">
              <wp:simplePos x="0" y="0"/>
              <wp:positionH relativeFrom="page">
                <wp:posOffset>5502402</wp:posOffset>
              </wp:positionH>
              <wp:positionV relativeFrom="page">
                <wp:posOffset>431998</wp:posOffset>
              </wp:positionV>
              <wp:extent cx="1704339" cy="16002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704339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17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Αποτελέσματα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Β’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Τριμήνου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8"/>
                              <w:sz w:val="17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3.26001pt;margin-top:34.015663pt;width:134.2pt;height:12.6pt;mso-position-horizontal-relative:page;mso-position-vertical-relative:page;z-index:-18112512" type="#_x0000_t202" id="docshape9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17"/>
                      </w:rPr>
                    </w:pP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Αποτελέσματα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Β’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2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Τριμήνου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8"/>
                        <w:sz w:val="17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204992">
          <wp:simplePos x="0" y="0"/>
          <wp:positionH relativeFrom="page">
            <wp:posOffset>283636</wp:posOffset>
          </wp:positionH>
          <wp:positionV relativeFrom="page">
            <wp:posOffset>405549</wp:posOffset>
          </wp:positionV>
          <wp:extent cx="1344076" cy="288859"/>
          <wp:effectExtent l="0" t="0" r="0" b="0"/>
          <wp:wrapNone/>
          <wp:docPr id="241" name="Image 2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1" name="Image 2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076" cy="288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05504">
              <wp:simplePos x="0" y="0"/>
              <wp:positionH relativeFrom="page">
                <wp:posOffset>5391150</wp:posOffset>
              </wp:positionH>
              <wp:positionV relativeFrom="page">
                <wp:posOffset>431998</wp:posOffset>
              </wp:positionV>
              <wp:extent cx="1704339" cy="160020"/>
              <wp:effectExtent l="0" t="0" r="0" b="0"/>
              <wp:wrapNone/>
              <wp:docPr id="242" name="Textbox 2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2" name="Textbox 242"/>
                    <wps:cNvSpPr txBox="1"/>
                    <wps:spPr>
                      <a:xfrm>
                        <a:off x="0" y="0"/>
                        <a:ext cx="1704339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17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Αποτελέσματα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Β’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Τριμήνου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8"/>
                              <w:sz w:val="17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5pt;margin-top:34.015663pt;width:134.2pt;height:12.6pt;mso-position-horizontal-relative:page;mso-position-vertical-relative:page;z-index:-18110976" type="#_x0000_t202" id="docshape22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17"/>
                      </w:rPr>
                    </w:pP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Αποτελέσματα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Β’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2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Τριμήνου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8"/>
                        <w:sz w:val="17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5206528">
          <wp:simplePos x="0" y="0"/>
          <wp:positionH relativeFrom="page">
            <wp:posOffset>394761</wp:posOffset>
          </wp:positionH>
          <wp:positionV relativeFrom="page">
            <wp:posOffset>405549</wp:posOffset>
          </wp:positionV>
          <wp:extent cx="1344076" cy="288859"/>
          <wp:effectExtent l="0" t="0" r="0" b="0"/>
          <wp:wrapNone/>
          <wp:docPr id="244" name="Image 24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4" name="Image 2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076" cy="288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207040">
              <wp:simplePos x="0" y="0"/>
              <wp:positionH relativeFrom="page">
                <wp:posOffset>5502402</wp:posOffset>
              </wp:positionH>
              <wp:positionV relativeFrom="page">
                <wp:posOffset>431998</wp:posOffset>
              </wp:positionV>
              <wp:extent cx="1704339" cy="160020"/>
              <wp:effectExtent l="0" t="0" r="0" b="0"/>
              <wp:wrapNone/>
              <wp:docPr id="245" name="Textbox 2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5" name="Textbox 245"/>
                    <wps:cNvSpPr txBox="1"/>
                    <wps:spPr>
                      <a:xfrm>
                        <a:off x="0" y="0"/>
                        <a:ext cx="1704339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17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Αποτελέσματα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Β’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2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4"/>
                              <w:sz w:val="17"/>
                            </w:rPr>
                            <w:t>Τριμήνου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3"/>
                              <w:sz w:val="17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color w:val="F79546"/>
                              <w:spacing w:val="-8"/>
                              <w:sz w:val="17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3.26001pt;margin-top:34.015663pt;width:134.2pt;height:12.6pt;mso-position-horizontal-relative:page;mso-position-vertical-relative:page;z-index:-18109440" type="#_x0000_t202" id="docshape224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17"/>
                      </w:rPr>
                    </w:pP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Αποτελέσματα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Β’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2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4"/>
                        <w:sz w:val="17"/>
                      </w:rPr>
                      <w:t>Τριμήνου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3"/>
                        <w:sz w:val="17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F79546"/>
                        <w:spacing w:val="-8"/>
                        <w:sz w:val="17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290" w:hanging="135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76"/>
        <w:sz w:val="12"/>
        <w:szCs w:val="12"/>
        <w:lang w:val="el-GR" w:eastAsia="en-US" w:bidi="ar-SA"/>
      </w:rPr>
    </w:lvl>
    <w:lvl w:ilvl="1">
      <w:start w:val="0"/>
      <w:numFmt w:val="bullet"/>
      <w:lvlText w:val="•"/>
      <w:lvlJc w:val="left"/>
      <w:pPr>
        <w:ind w:left="864" w:hanging="135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1429" w:hanging="135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1993" w:hanging="135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2558" w:hanging="135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3122" w:hanging="135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3687" w:hanging="135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4251" w:hanging="135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4816" w:hanging="135"/>
      </w:pPr>
      <w:rPr>
        <w:rFonts w:hint="default"/>
        <w:lang w:val="el-G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92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948" w:hanging="361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976" w:hanging="361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4004" w:hanging="361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5033" w:hanging="361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6061" w:hanging="361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7089" w:hanging="361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8118" w:hanging="361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9146" w:hanging="361"/>
      </w:pPr>
      <w:rPr>
        <w:rFonts w:hint="default"/>
        <w:lang w:val="el-G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927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>
      <w:start w:val="0"/>
      <w:numFmt w:val="bullet"/>
      <w:lvlText w:val="•"/>
      <w:lvlJc w:val="left"/>
      <w:pPr>
        <w:ind w:left="1948" w:hanging="361"/>
      </w:pPr>
      <w:rPr>
        <w:rFonts w:hint="default"/>
        <w:lang w:val="el-GR" w:eastAsia="en-US" w:bidi="ar-SA"/>
      </w:rPr>
    </w:lvl>
    <w:lvl w:ilvl="2">
      <w:start w:val="0"/>
      <w:numFmt w:val="bullet"/>
      <w:lvlText w:val="•"/>
      <w:lvlJc w:val="left"/>
      <w:pPr>
        <w:ind w:left="2976" w:hanging="361"/>
      </w:pPr>
      <w:rPr>
        <w:rFonts w:hint="default"/>
        <w:lang w:val="el-GR" w:eastAsia="en-US" w:bidi="ar-SA"/>
      </w:rPr>
    </w:lvl>
    <w:lvl w:ilvl="3">
      <w:start w:val="0"/>
      <w:numFmt w:val="bullet"/>
      <w:lvlText w:val="•"/>
      <w:lvlJc w:val="left"/>
      <w:pPr>
        <w:ind w:left="4004" w:hanging="361"/>
      </w:pPr>
      <w:rPr>
        <w:rFonts w:hint="default"/>
        <w:lang w:val="el-GR" w:eastAsia="en-US" w:bidi="ar-SA"/>
      </w:rPr>
    </w:lvl>
    <w:lvl w:ilvl="4">
      <w:start w:val="0"/>
      <w:numFmt w:val="bullet"/>
      <w:lvlText w:val="•"/>
      <w:lvlJc w:val="left"/>
      <w:pPr>
        <w:ind w:left="5033" w:hanging="361"/>
      </w:pPr>
      <w:rPr>
        <w:rFonts w:hint="default"/>
        <w:lang w:val="el-GR" w:eastAsia="en-US" w:bidi="ar-SA"/>
      </w:rPr>
    </w:lvl>
    <w:lvl w:ilvl="5">
      <w:start w:val="0"/>
      <w:numFmt w:val="bullet"/>
      <w:lvlText w:val="•"/>
      <w:lvlJc w:val="left"/>
      <w:pPr>
        <w:ind w:left="6061" w:hanging="361"/>
      </w:pPr>
      <w:rPr>
        <w:rFonts w:hint="default"/>
        <w:lang w:val="el-GR" w:eastAsia="en-US" w:bidi="ar-SA"/>
      </w:rPr>
    </w:lvl>
    <w:lvl w:ilvl="6">
      <w:start w:val="0"/>
      <w:numFmt w:val="bullet"/>
      <w:lvlText w:val="•"/>
      <w:lvlJc w:val="left"/>
      <w:pPr>
        <w:ind w:left="7089" w:hanging="361"/>
      </w:pPr>
      <w:rPr>
        <w:rFonts w:hint="default"/>
        <w:lang w:val="el-GR" w:eastAsia="en-US" w:bidi="ar-SA"/>
      </w:rPr>
    </w:lvl>
    <w:lvl w:ilvl="7">
      <w:start w:val="0"/>
      <w:numFmt w:val="bullet"/>
      <w:lvlText w:val="•"/>
      <w:lvlJc w:val="left"/>
      <w:pPr>
        <w:ind w:left="8118" w:hanging="361"/>
      </w:pPr>
      <w:rPr>
        <w:rFonts w:hint="default"/>
        <w:lang w:val="el-GR" w:eastAsia="en-US" w:bidi="ar-SA"/>
      </w:rPr>
    </w:lvl>
    <w:lvl w:ilvl="8">
      <w:start w:val="0"/>
      <w:numFmt w:val="bullet"/>
      <w:lvlText w:val="•"/>
      <w:lvlJc w:val="left"/>
      <w:pPr>
        <w:ind w:left="9146" w:hanging="361"/>
      </w:pPr>
      <w:rPr>
        <w:rFonts w:hint="default"/>
        <w:lang w:val="el-G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l-GR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el-GR" w:eastAsia="en-US" w:bidi="ar-SA"/>
    </w:rPr>
  </w:style>
  <w:style w:styleId="Heading1" w:type="paragraph">
    <w:name w:val="Heading 1"/>
    <w:basedOn w:val="Normal"/>
    <w:uiPriority w:val="1"/>
    <w:qFormat/>
    <w:pPr>
      <w:ind w:left="566"/>
      <w:outlineLvl w:val="1"/>
    </w:pPr>
    <w:rPr>
      <w:rFonts w:ascii="Tahoma" w:hAnsi="Tahoma" w:eastAsia="Tahoma" w:cs="Tahoma"/>
      <w:b/>
      <w:bCs/>
      <w:sz w:val="28"/>
      <w:szCs w:val="28"/>
      <w:lang w:val="el-GR" w:eastAsia="en-US" w:bidi="ar-SA"/>
    </w:rPr>
  </w:style>
  <w:style w:styleId="Heading2" w:type="paragraph">
    <w:name w:val="Heading 2"/>
    <w:basedOn w:val="Normal"/>
    <w:uiPriority w:val="1"/>
    <w:qFormat/>
    <w:pPr>
      <w:ind w:left="259"/>
      <w:outlineLvl w:val="2"/>
    </w:pPr>
    <w:rPr>
      <w:rFonts w:ascii="Verdana" w:hAnsi="Verdana" w:eastAsia="Verdana" w:cs="Verdana"/>
      <w:b/>
      <w:bCs/>
      <w:i/>
      <w:iCs/>
      <w:sz w:val="25"/>
      <w:szCs w:val="25"/>
      <w:lang w:val="el-GR" w:eastAsia="en-US" w:bidi="ar-SA"/>
    </w:rPr>
  </w:style>
  <w:style w:styleId="Heading3" w:type="paragraph">
    <w:name w:val="Heading 3"/>
    <w:basedOn w:val="Normal"/>
    <w:uiPriority w:val="1"/>
    <w:qFormat/>
    <w:pPr>
      <w:spacing w:before="84"/>
      <w:ind w:left="425"/>
      <w:outlineLvl w:val="3"/>
    </w:pPr>
    <w:rPr>
      <w:rFonts w:ascii="Tahoma" w:hAnsi="Tahoma" w:eastAsia="Tahoma" w:cs="Tahoma"/>
      <w:b/>
      <w:bCs/>
      <w:sz w:val="18"/>
      <w:szCs w:val="18"/>
      <w:lang w:val="el-GR" w:eastAsia="en-US" w:bidi="ar-SA"/>
    </w:rPr>
  </w:style>
  <w:style w:styleId="Title" w:type="paragraph">
    <w:name w:val="Title"/>
    <w:basedOn w:val="Normal"/>
    <w:uiPriority w:val="1"/>
    <w:qFormat/>
    <w:pPr>
      <w:ind w:left="93" w:right="4569" w:firstLine="218"/>
    </w:pPr>
    <w:rPr>
      <w:rFonts w:ascii="Tahoma" w:hAnsi="Tahoma" w:eastAsia="Tahoma" w:cs="Tahoma"/>
      <w:b/>
      <w:bCs/>
      <w:sz w:val="79"/>
      <w:szCs w:val="79"/>
      <w:lang w:val="el-GR" w:eastAsia="en-US" w:bidi="ar-SA"/>
    </w:rPr>
  </w:style>
  <w:style w:styleId="ListParagraph" w:type="paragraph">
    <w:name w:val="List Paragraph"/>
    <w:basedOn w:val="Normal"/>
    <w:uiPriority w:val="1"/>
    <w:qFormat/>
    <w:pPr>
      <w:spacing w:before="116"/>
      <w:ind w:left="927" w:hanging="361"/>
    </w:pPr>
    <w:rPr>
      <w:rFonts w:ascii="Verdana" w:hAnsi="Verdana" w:eastAsia="Verdana" w:cs="Verdana"/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6.jpe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header" Target="header3.xml"/><Relationship Id="rId20" Type="http://schemas.openxmlformats.org/officeDocument/2006/relationships/footer" Target="footer3.xml"/><Relationship Id="rId21" Type="http://schemas.openxmlformats.org/officeDocument/2006/relationships/header" Target="header4.xml"/><Relationship Id="rId22" Type="http://schemas.openxmlformats.org/officeDocument/2006/relationships/footer" Target="footer4.xml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image" Target="media/image17.png"/><Relationship Id="rId29" Type="http://schemas.openxmlformats.org/officeDocument/2006/relationships/image" Target="media/image18.png"/><Relationship Id="rId30" Type="http://schemas.openxmlformats.org/officeDocument/2006/relationships/image" Target="media/image19.png"/><Relationship Id="rId31" Type="http://schemas.openxmlformats.org/officeDocument/2006/relationships/image" Target="media/image20.png"/><Relationship Id="rId32" Type="http://schemas.openxmlformats.org/officeDocument/2006/relationships/image" Target="media/image21.png"/><Relationship Id="rId33" Type="http://schemas.openxmlformats.org/officeDocument/2006/relationships/image" Target="media/image22.png"/><Relationship Id="rId34" Type="http://schemas.openxmlformats.org/officeDocument/2006/relationships/image" Target="media/image23.png"/><Relationship Id="rId35" Type="http://schemas.openxmlformats.org/officeDocument/2006/relationships/hyperlink" Target="https://www.alpha.gr/el/omilos/enimerosi-ependuton" TargetMode="External"/><Relationship Id="rId36" Type="http://schemas.openxmlformats.org/officeDocument/2006/relationships/hyperlink" Target="mailto:ir@alpha.gr" TargetMode="External"/><Relationship Id="rId3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ΓΕΩΡΓΑΝΤΖΑ Θ. ΓΕΩΡΓΙΑ</dc:creator>
  <dcterms:created xsi:type="dcterms:W3CDTF">2026-07-31T05:04:34Z</dcterms:created>
  <dcterms:modified xsi:type="dcterms:W3CDTF">2026-07-31T05:04:34Z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2026-07-31T00:00:00Z</vt:filetime>
  </property>
  <property fmtid="{D5CDD505-2E9C-101B-9397-08002B2CF9AE}" pid="6" name="MSIP_Label_3b8d3c1f-739d-4b15-82f9-3af0fe19718a_ActionId">
    <vt:lpwstr>a7bcc576-362b-4d2b-93b7-fe2a527cd488</vt:lpwstr>
  </property>
  <property fmtid="{D5CDD505-2E9C-101B-9397-08002B2CF9AE}" pid="7" name="MSIP_Label_3b8d3c1f-739d-4b15-82f9-3af0fe19718a_ContentBits">
    <vt:lpwstr>0</vt:lpwstr>
  </property>
  <property fmtid="{D5CDD505-2E9C-101B-9397-08002B2CF9AE}" pid="8" name="MSIP_Label_3b8d3c1f-739d-4b15-82f9-3af0fe19718a_Enabled">
    <vt:lpwstr>true</vt:lpwstr>
  </property>
  <property fmtid="{D5CDD505-2E9C-101B-9397-08002B2CF9AE}" pid="9" name="MSIP_Label_3b8d3c1f-739d-4b15-82f9-3af0fe19718a_Method">
    <vt:lpwstr>Standard</vt:lpwstr>
  </property>
  <property fmtid="{D5CDD505-2E9C-101B-9397-08002B2CF9AE}" pid="10" name="MSIP_Label_3b8d3c1f-739d-4b15-82f9-3af0fe19718a_Name">
    <vt:lpwstr>3b8d3c1f-739d-4b15-82f9-3af0fe19718a</vt:lpwstr>
  </property>
  <property fmtid="{D5CDD505-2E9C-101B-9397-08002B2CF9AE}" pid="11" name="MSIP_Label_3b8d3c1f-739d-4b15-82f9-3af0fe19718a_SetDate">
    <vt:lpwstr>2022-07-21T09:55:36Z</vt:lpwstr>
  </property>
  <property fmtid="{D5CDD505-2E9C-101B-9397-08002B2CF9AE}" pid="12" name="MSIP_Label_3b8d3c1f-739d-4b15-82f9-3af0fe19718a_SiteId">
    <vt:lpwstr>c80515ef-93c1-429d-87e1-d66eb567b009</vt:lpwstr>
  </property>
  <property fmtid="{D5CDD505-2E9C-101B-9397-08002B2CF9AE}" pid="13" name="Producer">
    <vt:lpwstr>Microsoft® Word for Microsoft 365</vt:lpwstr>
  </property>
</Properties>
</file>